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8D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-210" w:rightChars="-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年湖滨区国民经济和社会发展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统计公报</w:t>
      </w:r>
    </w:p>
    <w:p w14:paraId="1D33661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555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38FFD28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2024年，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</w:rPr>
        <w:t>全区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/>
        </w:rPr>
        <w:t>上下在区委、区政府的坚强领导下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坚持以习近平新时代中国特色社会主义思想为指导，深入学习贯彻党的二十大和二十届二中、三中全会精神，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紧紧围绕</w:t>
      </w:r>
      <w:r>
        <w:rPr>
          <w:rFonts w:hint="default" w:ascii="Times New Roman" w:hAnsi="Times New Roman" w:eastAsia="仿宋" w:cs="Times New Roman"/>
          <w:color w:val="auto"/>
          <w:spacing w:val="0"/>
          <w:sz w:val="32"/>
          <w:szCs w:val="32"/>
          <w:lang w:val="en-US" w:eastAsia="zh-CN"/>
        </w:rPr>
        <w:t>区委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“123”目标思路，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全力以赴拼经济、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/>
        </w:rPr>
        <w:t>扬优势、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稳增长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运行呈现平稳增长态势。</w:t>
      </w:r>
    </w:p>
    <w:p w14:paraId="573159E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一、综 合</w:t>
      </w:r>
    </w:p>
    <w:p w14:paraId="1F693D2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全区地区生产总值364.2亿元，同比增长5.1%。其中，第一产业增加值6.9亿元，同比增长3%；第二产业增加值133.2亿元，同比增长7.7%；第三产业增加值224.1亿元，同比增长3.7%。三次产业结构为1.9∶ 36.6∶61.5。</w:t>
      </w:r>
    </w:p>
    <w:p w14:paraId="41A3003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全区常住人口32.32万人，城镇化率为93.81%，比上年末提高0.44个百分点。全年出生人口 0.24万人，人口出生率为7.41‰；死亡人口 0.28万人，人口死亡率为8.64‰；人口自然增长率为-1.23‰。</w:t>
      </w:r>
    </w:p>
    <w:p w14:paraId="2A0CB17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二、农 业</w:t>
      </w:r>
    </w:p>
    <w:p w14:paraId="30547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全区粮食种植面积6万亩，粮食总产量2.12万吨。其中，夏粮种植面积2.95万亩，产量1.07万吨；秋粮种植面积3.05万亩，产量1.05万吨。</w:t>
      </w:r>
    </w:p>
    <w:p w14:paraId="36B8A0D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全区生猪存栏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头，比上年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0.3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%；出栏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5.3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头，比上年下降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%。羊存栏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只，比上年下降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%；出栏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只，比上年下降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%。家禽存栏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24.9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只，比上年下降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22.7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%；出栏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只，比上年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0.03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</w:p>
    <w:p w14:paraId="34CE2FA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全区肉类总产量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0.6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吨，比上年下降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％。其中，猪肉产量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0.45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吨，占肉类总产量的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</w:p>
    <w:p w14:paraId="7F439A5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全区禽蛋产量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吨，比上年增长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％；牛奶产量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0.48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吨，比上年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下降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％。</w:t>
      </w:r>
    </w:p>
    <w:p w14:paraId="06BC238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三、工业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建筑业</w:t>
      </w:r>
    </w:p>
    <w:p w14:paraId="3F64901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全区规模以上工业增加值同比增长10.5%。其中，轻工业增加值同比增长235.9%，重工业增加值同比下降5.8%。</w:t>
      </w:r>
    </w:p>
    <w:p w14:paraId="4DEDC2A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规模以上食品加工业（食品制造业）增加值同比增长3.9%；酒、饮料和精制茶制造业增加值同比增长11.6%；非金属矿物制品业增加值同比下降16.5%；有色金属冶炼及压延加工业增加值同比下降54%；通用设备制造业增加值同比增长6.4%。</w:t>
      </w:r>
    </w:p>
    <w:p w14:paraId="3237ED0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全区主要工业产品产量中，饮料产量同比增长7.0%；纱产量同比下降16.4%；铝材产量同比增长3.7%。</w:t>
      </w:r>
    </w:p>
    <w:p w14:paraId="0923E31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全区规模以上工业营业收入同比增长0.6%。</w:t>
      </w:r>
    </w:p>
    <w:p w14:paraId="76C5EDB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全区规模以上工业增加值能耗降低率同比增长13.9%。</w:t>
      </w:r>
    </w:p>
    <w:p w14:paraId="4A84E9C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全区建筑业总产值同比增长15%。建筑工程产值同比增长8.0%；安装工程产值同比增长0.3%；其他产值同比增长16.9%。建筑业企业本年新签合同额同比下降30.4%。</w:t>
      </w:r>
    </w:p>
    <w:p w14:paraId="5FCA843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、固定资产投资</w:t>
      </w:r>
    </w:p>
    <w:p w14:paraId="35257E2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全区固定资产投资同比增长6.6%。其中，第一产业投资同比下降90.8%；第二产业投资同比增长36.1%；第三产业投资同比增长4.6%。</w:t>
      </w:r>
    </w:p>
    <w:p w14:paraId="1AC9915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全区房地产开发投资同比增长27%。其中，住宅投资同比增长24.5%。</w:t>
      </w:r>
    </w:p>
    <w:p w14:paraId="0B7F446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全区商品房销售面积34.2万平方米，同比下降12.9%。其中，住宅销售面积31.9万平方米，同比下降7.5%。</w:t>
      </w:r>
    </w:p>
    <w:p w14:paraId="211E158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全区房屋新开工面积18.8万平方米，同比增长255%。其中，住宅新开工面积11.6万平方米，同比增长62.2%。</w:t>
      </w:r>
    </w:p>
    <w:p w14:paraId="4CA06F6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全区商品房销售额17.4亿元，同比增长1.8%。其中，住宅销售额16.6亿元，同比增长13.7%。</w:t>
      </w:r>
    </w:p>
    <w:p w14:paraId="07D279F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、国内贸易</w:t>
      </w:r>
    </w:p>
    <w:p w14:paraId="1630BB3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全区社会消费品零售总额110.5亿元，同比增长6.1%。</w:t>
      </w:r>
    </w:p>
    <w:p w14:paraId="5805401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限额以上单位商品零售额中，粮油食品类同比增长8.5%；饮料类同比下降11.9%；烟酒类同比增长34.7%；服装、鞋帽、针纺织品类同比下降15.6%；金银珠宝类同比下降5.3%；日用品类同比增长72.3%；家用电器和音像器材类同比增长9%；中西药品类同比增长8.3%；文化办公用品类同比增长52.3%；通讯器材类同比增长1.4%；建筑及装潢材料类同比增长28.7%；石油及制品类同比增长14.1%；汽车类同比下降0.9%。</w:t>
      </w:r>
    </w:p>
    <w:p w14:paraId="38E6206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全区批发业销售额132亿元，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同比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  <w:t>下降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0.1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；零售业销售额115亿元，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</w:rPr>
        <w:t>同比增长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8.6%；住宿业营业额1.5亿元，同比增长2.2%；餐饮业营业额13.8亿元，同比增长2.2%。</w:t>
      </w:r>
    </w:p>
    <w:p w14:paraId="0EA0FAD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、财政</w:t>
      </w:r>
    </w:p>
    <w:p w14:paraId="1D94FFE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全区一般公共预算收入11.3亿元，同比增长11.3%。一般公共预算支出16.1亿元，同比增长14.6%。</w:t>
      </w:r>
    </w:p>
    <w:p w14:paraId="3869A39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教育和科学技术</w:t>
      </w:r>
    </w:p>
    <w:p w14:paraId="71E4F03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全区中等职业技术学校招生409人，在校生792人。普通高中招生463人，在校生1133人。初中学校招生174人，在校生778人。普通小学招生1706人，在校生10442人。</w:t>
      </w:r>
    </w:p>
    <w:p w14:paraId="08AFE78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省级及以上工程技术研究中心3个。高新技术企业31家。48家企业通过国家级科技型中小企业备案。各类创新平台达到71个，其中，年内新增省级研发类平台1个，年内新增市级研发类平台6个。全年完成技术合同登记18笔，技术合同交易额1.75亿元，较上年增长35.28%。</w:t>
      </w:r>
    </w:p>
    <w:p w14:paraId="6E32AD1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、交通、旅游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卫生健康</w:t>
      </w:r>
    </w:p>
    <w:p w14:paraId="68C7F48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全区交通运输、仓储和邮政业增加值11.9亿元，同比增长8.7%。</w:t>
      </w:r>
    </w:p>
    <w:p w14:paraId="736AF37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全年共接待海内外游客22.96万人次，旅游业总收入0.73亿元，接待入境游客（含港澳台同胞）2072人次。</w:t>
      </w:r>
    </w:p>
    <w:p w14:paraId="4D4ECAC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共有卫生机构225家，其中区二级综合医院1家，卫生院4家，疾病控制中心（卫生监督所）1个，妇幼保健院1个，一级医院7个，门诊部22个，个体诊所120个，村卫生室44个，社区卫生服务机构25个。已基本建立起覆盖全区的社区卫生服务网络体系，实现辖区居民医疗卫生服务全覆盖目标。</w:t>
      </w:r>
    </w:p>
    <w:p w14:paraId="54300D6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555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、居民收入消费和社会保障</w:t>
      </w:r>
    </w:p>
    <w:p w14:paraId="1993180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全区城镇居民人均可支配收入40269.1元，同比增长3.6%。城镇居民人均消费支出26605.8元，同比增长2.2%。</w:t>
      </w:r>
    </w:p>
    <w:p w14:paraId="45A6F56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全区共发放企业退休养老金15837.9万元，机关事业养老金11139.5万元；发放城乡居民养老保险3675.65万元；发放失业保险金1584.32万元。</w:t>
      </w:r>
    </w:p>
    <w:p w14:paraId="3D6EE6E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全区城乡低保对象4087人，累计发放低保金1851.8万元；全面实施临时救助制度，支出临时救助金123万元，共救助228人次。</w:t>
      </w:r>
    </w:p>
    <w:p w14:paraId="56C1691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422" w:firstLineChars="200"/>
        <w:jc w:val="both"/>
        <w:textAlignment w:val="auto"/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</w:rPr>
      </w:pPr>
    </w:p>
    <w:p w14:paraId="65739FB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422" w:firstLineChars="200"/>
        <w:jc w:val="both"/>
        <w:textAlignment w:val="auto"/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</w:rPr>
      </w:pPr>
    </w:p>
    <w:p w14:paraId="4180C97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422" w:firstLineChars="200"/>
        <w:jc w:val="both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1"/>
          <w:szCs w:val="21"/>
        </w:rPr>
      </w:pPr>
      <w:bookmarkStart w:id="0" w:name="_GoBack"/>
      <w:bookmarkEnd w:id="0"/>
      <w:r>
        <w:rPr>
          <w:rFonts w:hint="default" w:ascii="仿宋_GB2312" w:hAnsi="微软雅黑" w:eastAsia="仿宋_GB2312" w:cs="仿宋_GB2312"/>
          <w:b/>
          <w:bCs/>
          <w:i w:val="0"/>
          <w:iCs w:val="0"/>
          <w:caps w:val="0"/>
          <w:color w:val="auto"/>
          <w:spacing w:val="0"/>
          <w:sz w:val="21"/>
          <w:szCs w:val="21"/>
        </w:rPr>
        <w:t>注：</w:t>
      </w:r>
    </w:p>
    <w:p w14:paraId="7C807E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24"/>
        </w:rPr>
      </w:pPr>
      <w:r>
        <w:rPr>
          <w:rFonts w:hint="default"/>
          <w:b/>
          <w:bCs/>
          <w:color w:val="auto"/>
          <w:sz w:val="24"/>
          <w:szCs w:val="24"/>
        </w:rPr>
        <w:t>  1.本公报202</w:t>
      </w:r>
      <w:r>
        <w:rPr>
          <w:rFonts w:hint="eastAsia"/>
          <w:b/>
          <w:bCs/>
          <w:color w:val="auto"/>
          <w:sz w:val="24"/>
          <w:szCs w:val="24"/>
          <w:lang w:val="en-US" w:eastAsia="zh-CN"/>
        </w:rPr>
        <w:t>4</w:t>
      </w:r>
      <w:r>
        <w:rPr>
          <w:rFonts w:hint="default"/>
          <w:b/>
          <w:bCs/>
          <w:color w:val="auto"/>
          <w:sz w:val="24"/>
          <w:szCs w:val="24"/>
        </w:rPr>
        <w:t>年数据为初步统计结果。部分数据因四舍五入的原因，存在总计与分项合计不等的情况。</w:t>
      </w:r>
    </w:p>
    <w:p w14:paraId="0D5B4A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24"/>
        </w:rPr>
      </w:pPr>
      <w:r>
        <w:rPr>
          <w:rFonts w:hint="default"/>
          <w:b/>
          <w:bCs/>
          <w:color w:val="auto"/>
          <w:sz w:val="24"/>
          <w:szCs w:val="24"/>
        </w:rPr>
        <w:t>  2.生产总值、各产业增加值绝对数按现价计算，增长速度按不变价计算。</w:t>
      </w:r>
    </w:p>
    <w:p w14:paraId="79CC28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24"/>
        </w:rPr>
      </w:pPr>
      <w:r>
        <w:rPr>
          <w:rFonts w:hint="default"/>
          <w:b/>
          <w:bCs/>
          <w:color w:val="auto"/>
          <w:sz w:val="24"/>
          <w:szCs w:val="24"/>
        </w:rPr>
        <w:t> 3.三次产业分类依据国家统计局2018年修订的《三次产业划分规定》，第一产业是指农、林、牧、渔业（不含农、林、牧、渔专业及辅助性活动）；第二产业是指采矿业（不含开采专业及辅助性活动），制造业（不含金属制品、机械和设备修理业），电力、热力、燃气及水生产和供应业，建筑业；第三产业即服务业，是指除第一产业、第二产业以外的其他行业（剔除国际组织）。</w:t>
      </w:r>
    </w:p>
    <w:p w14:paraId="0D56EE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24"/>
        </w:rPr>
      </w:pPr>
      <w:r>
        <w:rPr>
          <w:rFonts w:hint="default"/>
          <w:b/>
          <w:bCs/>
          <w:color w:val="auto"/>
          <w:sz w:val="24"/>
          <w:szCs w:val="24"/>
        </w:rPr>
        <w:t> 4.</w:t>
      </w:r>
      <w:r>
        <w:rPr>
          <w:rFonts w:hint="eastAsia"/>
          <w:b/>
          <w:bCs/>
          <w:color w:val="auto"/>
          <w:sz w:val="24"/>
          <w:szCs w:val="24"/>
        </w:rPr>
        <w:t>资料来源：</w:t>
      </w:r>
      <w:r>
        <w:rPr>
          <w:rFonts w:hint="default"/>
          <w:b/>
          <w:bCs/>
          <w:color w:val="auto"/>
          <w:sz w:val="24"/>
          <w:szCs w:val="24"/>
        </w:rPr>
        <w:t>本公报中民政、</w:t>
      </w:r>
      <w:r>
        <w:rPr>
          <w:rFonts w:hint="eastAsia"/>
          <w:b/>
          <w:bCs/>
          <w:color w:val="auto"/>
          <w:sz w:val="24"/>
          <w:szCs w:val="24"/>
        </w:rPr>
        <w:t>社会保障</w:t>
      </w:r>
      <w:r>
        <w:rPr>
          <w:rFonts w:hint="eastAsia"/>
          <w:b/>
          <w:bCs/>
          <w:color w:val="auto"/>
          <w:sz w:val="24"/>
          <w:szCs w:val="24"/>
          <w:lang w:eastAsia="zh-CN"/>
        </w:rPr>
        <w:t>、</w:t>
      </w:r>
      <w:r>
        <w:rPr>
          <w:rFonts w:hint="default"/>
          <w:b/>
          <w:bCs/>
          <w:color w:val="auto"/>
          <w:sz w:val="24"/>
          <w:szCs w:val="24"/>
        </w:rPr>
        <w:t>财政、教育、</w:t>
      </w:r>
      <w:r>
        <w:rPr>
          <w:rFonts w:hint="eastAsia"/>
          <w:b/>
          <w:bCs/>
          <w:color w:val="auto"/>
          <w:sz w:val="24"/>
          <w:szCs w:val="24"/>
        </w:rPr>
        <w:t>科技、</w:t>
      </w:r>
      <w:r>
        <w:rPr>
          <w:rFonts w:hint="default"/>
          <w:b/>
          <w:bCs/>
          <w:color w:val="auto"/>
          <w:sz w:val="24"/>
          <w:szCs w:val="24"/>
        </w:rPr>
        <w:t>旅游、卫生等方面的资料由区直相关部门提供。</w:t>
      </w:r>
    </w:p>
    <w:p w14:paraId="778BEC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b/>
          <w:bCs/>
          <w:color w:val="auto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E93D1"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C9F940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9F940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495799"/>
    <w:rsid w:val="3B4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2185</Words>
  <Characters>2641</Characters>
  <Paragraphs>51</Paragraphs>
  <TotalTime>0</TotalTime>
  <ScaleCrop>false</ScaleCrop>
  <LinksUpToDate>false</LinksUpToDate>
  <CharactersWithSpaces>2661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2025-07-23T08:19:00Z</dcterms:created>
  <dc:creator>Administrator</dc:creator>
  <cp:lastModifiedBy>Administrator</cp:lastModifiedBy>
  <cp:lastPrinted>2025-06-10T01:52:00Z</cp:lastPrinted>
  <dcterms:modified xsi:type="dcterms:W3CDTF">2025-08-18T01:34:35Z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b396644ded32480abd7785b831ee6b47_23</vt:lpwstr>
  </property>
  <property fmtid="{D5CDD505-2E9C-101B-9397-08002B2CF9AE}" pid="4" name="KSOTemplateDocerSaveRecord">
    <vt:lpwstr>eyJoZGlkIjoiMmMxOGU5Y2E1M2Y0N2YyNjU3ZGFhODRiMDE1NzRjMTUifQ==</vt:lpwstr>
  </property>
</Properties>
</file>