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F81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1BFE69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787DD6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651ECF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3F5937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034576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5299482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p>
    <w:p w14:paraId="3703E8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4B610B2D">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三门峡市湖滨</w:t>
      </w:r>
      <w:r>
        <w:rPr>
          <w:rFonts w:hint="eastAsia" w:ascii="方正小标宋简体" w:hAnsi="方正小标宋简体" w:eastAsia="方正小标宋简体" w:cs="方正小标宋简体"/>
          <w:sz w:val="44"/>
          <w:szCs w:val="44"/>
        </w:rPr>
        <w:t>区限额以下工程</w:t>
      </w:r>
    </w:p>
    <w:p w14:paraId="3D7A01E8">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施工安全管理实施</w:t>
      </w:r>
      <w:r>
        <w:rPr>
          <w:rFonts w:hint="eastAsia" w:ascii="Times New Roman" w:hAnsi="Times New Roman" w:eastAsia="方正小标宋简体"/>
          <w:sz w:val="44"/>
          <w:szCs w:val="44"/>
          <w:lang w:val="en-US" w:eastAsia="zh-CN"/>
        </w:rPr>
        <w:t>细则(征求意见稿)</w:t>
      </w:r>
    </w:p>
    <w:p w14:paraId="7410B4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1C4784E0">
      <w:pPr>
        <w:pStyle w:val="5"/>
        <w:rPr>
          <w:rFonts w:hint="eastAsia" w:ascii="方正小标宋简体" w:hAnsi="方正小标宋简体" w:eastAsia="方正小标宋简体" w:cs="方正小标宋简体"/>
          <w:sz w:val="44"/>
          <w:szCs w:val="44"/>
          <w:lang w:val="en-US" w:eastAsia="zh-CN"/>
        </w:rPr>
      </w:pPr>
    </w:p>
    <w:p w14:paraId="10298CBE">
      <w:pPr>
        <w:rPr>
          <w:rFonts w:hint="eastAsia" w:ascii="方正小标宋简体" w:hAnsi="方正小标宋简体" w:eastAsia="方正小标宋简体" w:cs="方正小标宋简体"/>
          <w:sz w:val="44"/>
          <w:szCs w:val="44"/>
          <w:lang w:val="en-US" w:eastAsia="zh-CN"/>
        </w:rPr>
      </w:pPr>
    </w:p>
    <w:p w14:paraId="109EA530">
      <w:pPr>
        <w:pStyle w:val="5"/>
        <w:rPr>
          <w:rFonts w:hint="eastAsia" w:ascii="方正小标宋简体" w:hAnsi="方正小标宋简体" w:eastAsia="方正小标宋简体" w:cs="方正小标宋简体"/>
          <w:sz w:val="44"/>
          <w:szCs w:val="44"/>
          <w:lang w:val="en-US" w:eastAsia="zh-CN"/>
        </w:rPr>
      </w:pPr>
    </w:p>
    <w:p w14:paraId="39665112">
      <w:pPr>
        <w:rPr>
          <w:rFonts w:hint="eastAsia" w:ascii="方正小标宋简体" w:hAnsi="方正小标宋简体" w:eastAsia="方正小标宋简体" w:cs="方正小标宋简体"/>
          <w:sz w:val="44"/>
          <w:szCs w:val="44"/>
          <w:lang w:val="en-US" w:eastAsia="zh-CN"/>
        </w:rPr>
      </w:pPr>
    </w:p>
    <w:p w14:paraId="7CA62E4A">
      <w:pPr>
        <w:pStyle w:val="5"/>
        <w:rPr>
          <w:rFonts w:hint="eastAsia" w:ascii="方正小标宋简体" w:hAnsi="方正小标宋简体" w:eastAsia="方正小标宋简体" w:cs="方正小标宋简体"/>
          <w:sz w:val="44"/>
          <w:szCs w:val="44"/>
          <w:lang w:val="en-US" w:eastAsia="zh-CN"/>
        </w:rPr>
      </w:pPr>
    </w:p>
    <w:p w14:paraId="27BBD4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二〇二</w:t>
      </w:r>
      <w:r>
        <w:rPr>
          <w:rFonts w:hint="eastAsia" w:ascii="方正小标宋简体" w:hAnsi="方正小标宋简体" w:eastAsia="方正小标宋简体" w:cs="方正小标宋简体"/>
          <w:sz w:val="44"/>
          <w:szCs w:val="44"/>
          <w:lang w:val="en-US" w:eastAsia="zh-CN"/>
        </w:rPr>
        <w:t>六</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十</w:t>
      </w:r>
      <w:r>
        <w:rPr>
          <w:rFonts w:hint="eastAsia" w:ascii="方正小标宋简体" w:hAnsi="方正小标宋简体" w:eastAsia="方正小标宋简体" w:cs="方正小标宋简体"/>
          <w:sz w:val="44"/>
          <w:szCs w:val="44"/>
        </w:rPr>
        <w:t>月</w:t>
      </w:r>
    </w:p>
    <w:p w14:paraId="1C1A8F62">
      <w:pPr>
        <w:rPr>
          <w:rFonts w:hint="eastAsia"/>
          <w:lang w:val="en-US" w:eastAsia="zh-CN"/>
        </w:rPr>
        <w:sectPr>
          <w:headerReference r:id="rId3" w:type="default"/>
          <w:footerReference r:id="rId4" w:type="default"/>
          <w:pgSz w:w="11906" w:h="16838"/>
          <w:pgMar w:top="2098" w:right="1531" w:bottom="1984" w:left="1531" w:header="851" w:footer="992" w:gutter="0"/>
          <w:pgNumType w:fmt="decimal"/>
          <w:cols w:space="425" w:num="1"/>
          <w:docGrid w:type="lines" w:linePitch="312" w:charSpace="0"/>
        </w:sectPr>
      </w:pPr>
    </w:p>
    <w:p w14:paraId="5565F8F5">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三门峡市湖滨</w:t>
      </w:r>
      <w:r>
        <w:rPr>
          <w:rFonts w:hint="eastAsia" w:ascii="方正小标宋简体" w:hAnsi="方正小标宋简体" w:eastAsia="方正小标宋简体" w:cs="方正小标宋简体"/>
          <w:sz w:val="44"/>
          <w:szCs w:val="44"/>
        </w:rPr>
        <w:t>区限额以下工程施工安全管理</w:t>
      </w:r>
    </w:p>
    <w:p w14:paraId="013B3FC8">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实施</w:t>
      </w:r>
      <w:r>
        <w:rPr>
          <w:rFonts w:hint="eastAsia" w:ascii="Times New Roman" w:hAnsi="Times New Roman" w:eastAsia="方正小标宋简体"/>
          <w:sz w:val="44"/>
          <w:szCs w:val="44"/>
          <w:lang w:val="en-US" w:eastAsia="zh-CN"/>
        </w:rPr>
        <w:t>细则</w:t>
      </w:r>
    </w:p>
    <w:p w14:paraId="198401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3B7FE612">
      <w:pPr>
        <w:pStyle w:val="2"/>
        <w:jc w:val="center"/>
        <w:rPr>
          <w:rFonts w:hint="default"/>
          <w:lang w:val="en-US" w:eastAsia="zh-CN"/>
        </w:rPr>
      </w:pPr>
      <w:r>
        <w:rPr>
          <w:rFonts w:hint="eastAsia"/>
          <w:lang w:val="en-US" w:eastAsia="zh-CN"/>
        </w:rPr>
        <w:t>第一章  总则</w:t>
      </w:r>
    </w:p>
    <w:p w14:paraId="45D88A78">
      <w:pPr>
        <w:keepNext w:val="0"/>
        <w:keepLines w:val="0"/>
        <w:pageBreakBefore w:val="0"/>
        <w:kinsoku/>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为加强</w:t>
      </w:r>
      <w:r>
        <w:rPr>
          <w:rFonts w:hint="eastAsia" w:ascii="仿宋_GB2312" w:hAnsi="仿宋_GB2312" w:eastAsia="仿宋_GB2312" w:cs="仿宋_GB2312"/>
          <w:sz w:val="32"/>
          <w:szCs w:val="32"/>
          <w:lang w:val="en-US" w:eastAsia="zh-CN"/>
        </w:rPr>
        <w:t>全区</w:t>
      </w:r>
      <w:r>
        <w:rPr>
          <w:rFonts w:hint="eastAsia" w:ascii="仿宋_GB2312" w:hAnsi="仿宋_GB2312" w:eastAsia="仿宋_GB2312" w:cs="仿宋_GB2312"/>
          <w:sz w:val="32"/>
          <w:szCs w:val="32"/>
        </w:rPr>
        <w:t>限额以下小型工程的安全生产管理，落实各方责任，最大限度降低安全事故风险，保障人民群众生命财产安全，依据《中华人民共和国安全生产法》《中华人民共和国建筑法》《中华人民共和国消防法》《建设工程安全生产管理条例》《河南省安全生产条例》《中共中央办公厅 国务院办公厅关于进一步提升基层应急管理能力的意见》《中共河南省委办公厅河南省人民政府办公厅关于印发&lt;河南省落实落细安全生产“三管三必须”若干规定&gt;的通知》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河南省限额以下小型工程施工安全管理办法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试行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等法律法规及有关文件规定，结合本区实际，制定本实施细</w:t>
      </w:r>
      <w:r>
        <w:rPr>
          <w:rFonts w:hint="eastAsia" w:ascii="仿宋_GB2312" w:hAnsi="仿宋_GB2312" w:eastAsia="仿宋_GB2312" w:cs="仿宋_GB2312"/>
          <w:sz w:val="32"/>
          <w:szCs w:val="32"/>
          <w:lang w:val="en-US" w:eastAsia="zh-CN"/>
        </w:rPr>
        <w:t>则。</w:t>
      </w:r>
    </w:p>
    <w:p w14:paraId="1B67237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本办法适用于</w:t>
      </w:r>
      <w:r>
        <w:rPr>
          <w:rFonts w:hint="eastAsia" w:ascii="仿宋_GB2312" w:hAnsi="仿宋_GB2312" w:eastAsia="仿宋_GB2312" w:cs="仿宋_GB2312"/>
          <w:sz w:val="32"/>
          <w:szCs w:val="32"/>
          <w:lang w:val="en-US" w:eastAsia="zh-CN"/>
        </w:rPr>
        <w:t>湖滨区</w:t>
      </w:r>
      <w:r>
        <w:rPr>
          <w:rFonts w:hint="eastAsia" w:ascii="仿宋_GB2312" w:hAnsi="仿宋_GB2312" w:eastAsia="仿宋_GB2312" w:cs="仿宋_GB2312"/>
          <w:sz w:val="32"/>
          <w:szCs w:val="32"/>
        </w:rPr>
        <w:t>行政区域内依法无需办理施工许可手续且涉及公共区域安全的规模体量较小的各类建设工程，具体包括:</w:t>
      </w:r>
    </w:p>
    <w:p w14:paraId="15B59B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Times New Roman" w:hAnsi="Times New Roman" w:eastAsia="仿宋_GB2312"/>
          <w:sz w:val="32"/>
          <w:szCs w:val="32"/>
        </w:rPr>
        <w:t>工程投资额在</w:t>
      </w:r>
      <w:r>
        <w:rPr>
          <w:rFonts w:ascii="Times New Roman" w:hAnsi="Times New Roman" w:eastAsia="仿宋_GB2312"/>
          <w:sz w:val="32"/>
          <w:szCs w:val="32"/>
        </w:rPr>
        <w:t>100</w:t>
      </w:r>
      <w:r>
        <w:rPr>
          <w:rFonts w:hint="eastAsia" w:ascii="Times New Roman" w:hAnsi="Times New Roman" w:eastAsia="仿宋_GB2312"/>
          <w:sz w:val="32"/>
          <w:szCs w:val="32"/>
        </w:rPr>
        <w:t>万元（不含</w:t>
      </w:r>
      <w:r>
        <w:rPr>
          <w:rFonts w:ascii="Times New Roman" w:hAnsi="Times New Roman" w:eastAsia="仿宋_GB2312"/>
          <w:sz w:val="32"/>
          <w:szCs w:val="32"/>
        </w:rPr>
        <w:t>100</w:t>
      </w:r>
      <w:r>
        <w:rPr>
          <w:rFonts w:hint="eastAsia" w:ascii="Times New Roman" w:hAnsi="Times New Roman" w:eastAsia="仿宋_GB2312"/>
          <w:sz w:val="32"/>
          <w:szCs w:val="32"/>
        </w:rPr>
        <w:t>万元）以下或建筑面积在</w:t>
      </w:r>
      <w:r>
        <w:rPr>
          <w:rFonts w:ascii="Times New Roman" w:hAnsi="Times New Roman" w:eastAsia="仿宋_GB2312"/>
          <w:sz w:val="32"/>
          <w:szCs w:val="32"/>
        </w:rPr>
        <w:t>500</w:t>
      </w:r>
      <w:r>
        <w:rPr>
          <w:rFonts w:hint="eastAsia" w:ascii="Times New Roman" w:hAnsi="Times New Roman" w:eastAsia="仿宋_GB2312"/>
          <w:sz w:val="32"/>
          <w:szCs w:val="32"/>
        </w:rPr>
        <w:t>平方米（不含</w:t>
      </w:r>
      <w:r>
        <w:rPr>
          <w:rFonts w:ascii="Times New Roman" w:hAnsi="Times New Roman" w:eastAsia="仿宋_GB2312"/>
          <w:sz w:val="32"/>
          <w:szCs w:val="32"/>
        </w:rPr>
        <w:t>500</w:t>
      </w:r>
      <w:r>
        <w:rPr>
          <w:rFonts w:hint="eastAsia" w:ascii="Times New Roman" w:hAnsi="Times New Roman" w:eastAsia="仿宋_GB2312"/>
          <w:sz w:val="32"/>
          <w:szCs w:val="32"/>
        </w:rPr>
        <w:t>平方米）以下</w:t>
      </w:r>
      <w:r>
        <w:rPr>
          <w:rFonts w:hint="eastAsia" w:ascii="Times New Roman" w:hAnsi="Times New Roman" w:eastAsia="仿宋_GB2312"/>
          <w:sz w:val="32"/>
          <w:szCs w:val="32"/>
          <w:lang w:val="en-US" w:eastAsia="zh-CN"/>
        </w:rPr>
        <w:t>的房屋建筑和市政基础设施</w:t>
      </w:r>
      <w:r>
        <w:rPr>
          <w:rFonts w:hint="eastAsia" w:ascii="Times New Roman" w:hAnsi="Times New Roman" w:eastAsia="仿宋_GB2312"/>
          <w:sz w:val="32"/>
          <w:szCs w:val="32"/>
        </w:rPr>
        <w:t>。</w:t>
      </w:r>
    </w:p>
    <w:p w14:paraId="41D8A3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2.限额以下的其他专业建设工程以及新兴行业领域建设工</w:t>
      </w:r>
    </w:p>
    <w:p w14:paraId="1D8CC65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程。</w:t>
      </w:r>
    </w:p>
    <w:p w14:paraId="6B1E8B1D">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各安全监管或行业管理部门对限额以下的专业建设工程另有规定的，从其规定。</w:t>
      </w:r>
    </w:p>
    <w:p w14:paraId="73453658">
      <w:pPr>
        <w:keepNext w:val="0"/>
        <w:keepLines w:val="0"/>
        <w:widowControl/>
        <w:suppressLineNumbers w:val="0"/>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街道办事处，</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行业</w:t>
      </w:r>
      <w:r>
        <w:rPr>
          <w:rFonts w:hint="eastAsia" w:ascii="仿宋_GB2312" w:hAnsi="仿宋_GB2312" w:eastAsia="仿宋_GB2312" w:cs="仿宋_GB2312"/>
          <w:sz w:val="32"/>
          <w:szCs w:val="32"/>
        </w:rPr>
        <w:t>部门应将限额以下小型工程施工安全有关法律法规和安全生产知识纳入安全生产宣传教育内容，增强从业人员和全社会安全生产意识，提高生产经营单位和从业人员防范事故能力。</w:t>
      </w:r>
    </w:p>
    <w:p w14:paraId="6791BD66">
      <w:pPr>
        <w:keepNext w:val="0"/>
        <w:keepLines w:val="0"/>
        <w:widowControl/>
        <w:suppressLineNumbers w:val="0"/>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第四条 </w:t>
      </w:r>
      <w:r>
        <w:rPr>
          <w:rFonts w:hint="eastAsia" w:ascii="仿宋_GB2312" w:hAnsi="仿宋_GB2312" w:eastAsia="仿宋_GB2312" w:cs="仿宋_GB2312"/>
          <w:sz w:val="32"/>
          <w:szCs w:val="32"/>
        </w:rPr>
        <w:t>任何单位或个人可以按照《河南省安全生产领域举报奖励办法》(豫应急[2025]43号)等文件要求，通过12345热线、12319热线、河南省安全生产举报平台等方式，对限额以下小型工程中存在的事故隐患和相关安全生产违法违规行为检举、控告、投诉、举报。对经查证属实的，依照有关规定给予奖励。</w:t>
      </w:r>
    </w:p>
    <w:p w14:paraId="30A19849">
      <w:pPr>
        <w:keepNext w:val="0"/>
        <w:keepLines w:val="0"/>
        <w:widowControl/>
        <w:suppressLineNumbers w:val="0"/>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第五条 </w:t>
      </w:r>
      <w:r>
        <w:rPr>
          <w:rFonts w:hint="eastAsia" w:ascii="仿宋_GB2312" w:hAnsi="仿宋_GB2312" w:eastAsia="仿宋_GB2312" w:cs="仿宋_GB2312"/>
          <w:sz w:val="32"/>
          <w:szCs w:val="32"/>
        </w:rPr>
        <w:t>鼓励通过信息化手段加强限额以下小型工程施工安全监管。</w:t>
      </w:r>
    </w:p>
    <w:p w14:paraId="17AABF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p>
    <w:p w14:paraId="6B9C2C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第二章  主体责任</w:t>
      </w:r>
    </w:p>
    <w:p w14:paraId="3D54AEE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val="en-US" w:eastAsia="zh-CN"/>
        </w:rPr>
        <w:t>限额以下小型工程的</w:t>
      </w:r>
      <w:r>
        <w:rPr>
          <w:rFonts w:hint="eastAsia" w:ascii="仿宋_GB2312" w:hAnsi="仿宋_GB2312" w:eastAsia="仿宋_GB2312" w:cs="仿宋_GB2312"/>
          <w:sz w:val="32"/>
          <w:szCs w:val="32"/>
        </w:rPr>
        <w:t>建设单位</w:t>
      </w:r>
      <w:r>
        <w:rPr>
          <w:rFonts w:hint="eastAsia" w:ascii="仿宋_GB2312" w:hAnsi="仿宋_GB2312" w:eastAsia="仿宋_GB2312" w:cs="仿宋_GB2312"/>
          <w:sz w:val="32"/>
          <w:szCs w:val="32"/>
          <w:lang w:val="en-US" w:eastAsia="zh-CN"/>
        </w:rPr>
        <w:t>或个人</w:t>
      </w:r>
      <w:r>
        <w:rPr>
          <w:rFonts w:hint="eastAsia" w:ascii="仿宋_GB2312" w:hAnsi="仿宋_GB2312" w:eastAsia="仿宋_GB2312" w:cs="仿宋_GB2312"/>
          <w:sz w:val="32"/>
          <w:szCs w:val="32"/>
        </w:rPr>
        <w:t>应当落实安全生产</w:t>
      </w:r>
      <w:r>
        <w:rPr>
          <w:rFonts w:hint="eastAsia" w:ascii="仿宋_GB2312" w:hAnsi="仿宋_GB2312" w:eastAsia="仿宋_GB2312" w:cs="仿宋_GB2312"/>
          <w:sz w:val="32"/>
          <w:szCs w:val="32"/>
          <w:lang w:val="en-US" w:eastAsia="zh-CN"/>
        </w:rPr>
        <w:t>主体</w:t>
      </w:r>
      <w:r>
        <w:rPr>
          <w:rFonts w:hint="eastAsia" w:ascii="仿宋_GB2312" w:hAnsi="仿宋_GB2312" w:eastAsia="仿宋_GB2312" w:cs="仿宋_GB2312"/>
          <w:sz w:val="32"/>
          <w:szCs w:val="32"/>
        </w:rPr>
        <w:t>责任，并依法履行下列安全责任：</w:t>
      </w:r>
    </w:p>
    <w:p w14:paraId="3D1F144A">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（一）项目动工前，按照项目所在地乡（街道）明确的方式进行信息登记，自觉接受安全生产指导和监管。</w:t>
      </w:r>
    </w:p>
    <w:p w14:paraId="08D118F1">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面负责工程项目建设全过程管理，根据工程风险等级设置安全生产管理机构或配备专(兼)职安全管理人员，对施工单位施工方案、使用材料、进场人员、场地管理措施等进行监督管理，督促施工单位依法依规施工。</w:t>
      </w:r>
    </w:p>
    <w:p w14:paraId="28558E7D">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）人员密集场所涉及动火作业的限额以下小型工程动工前，应当告知乡(街道)安全生产信息和完工情况，并自觉接受安全生产指导和监管。</w:t>
      </w:r>
    </w:p>
    <w:p w14:paraId="7DB54E7D">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根据限额以下小型工程的类型、规模和内容等，委托具备相应资质或条件的生产经营单位进行施工，与其签订专门的安全生产管理协议，或者在承包合同中明确双方安全生产的权利义务和责任。</w:t>
      </w:r>
    </w:p>
    <w:p w14:paraId="70289DFC">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）保障施工安全作业所需费用，并督促施工单位落实施工安全防护措施。</w:t>
      </w:r>
    </w:p>
    <w:p w14:paraId="4202B583">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）应将信息登记张贴在限额以下小型工程所在地的醒目位置，接受社会监督，主动配合有关部门、单位的监督检查。</w:t>
      </w:r>
    </w:p>
    <w:p w14:paraId="53084CC0">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组织开展生产安全事故隐患排查治理，发现存在事故隐患或者安全生产违法违规行为的，应当及时督促整改并向项目所在地的乡(街道)或者负有安全生产监督管理职责的部门报告。</w:t>
      </w:r>
    </w:p>
    <w:p w14:paraId="144E6C4C">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采购的建筑材料、建筑构配件和设备应当符合国家与</w:t>
      </w:r>
    </w:p>
    <w:p w14:paraId="6E29E618">
      <w:pPr>
        <w:keepNext w:val="0"/>
        <w:keepLines w:val="0"/>
        <w:pageBreakBefore w:val="0"/>
        <w:kinsoku/>
        <w:overflowPunct/>
        <w:topLinePunct w:val="0"/>
        <w:autoSpaceDE/>
        <w:autoSpaceDN/>
        <w:bidi w:val="0"/>
        <w:adjustRightIn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河南省相关标准、规定和设计文件要求。</w:t>
      </w:r>
    </w:p>
    <w:p w14:paraId="134C30D6">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不得将应当申请办理施工许可手续的工程项目分解为若干限额以下小型工程项目，规避办理施工许可手续。</w:t>
      </w:r>
    </w:p>
    <w:p w14:paraId="14801072">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落实法律法规、规章以及相关技术标准、规范规定的其他要求。</w:t>
      </w:r>
    </w:p>
    <w:p w14:paraId="333F1DCC">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落实法律法规、规章以及相关技术标准、规范规定的其他要求。</w:t>
      </w:r>
    </w:p>
    <w:p w14:paraId="4AD90FAA">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限额以下小型工程完工后3个工作日内，向乡（街道）报告销号。</w:t>
      </w:r>
    </w:p>
    <w:p w14:paraId="3ABD2D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鼓励有条件的建设单位或个人委托第三方技术服务单位进</w:t>
      </w:r>
    </w:p>
    <w:p w14:paraId="488F2CEE">
      <w:pPr>
        <w:pStyle w:val="2"/>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行现场管理。</w:t>
      </w:r>
    </w:p>
    <w:p w14:paraId="6A6199FB">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kern w:val="0"/>
          <w:sz w:val="32"/>
          <w:szCs w:val="32"/>
          <w:lang w:val="en-US" w:eastAsia="zh-CN"/>
        </w:rPr>
        <w:t>承接限额以下小型工程的</w:t>
      </w:r>
      <w:r>
        <w:rPr>
          <w:rFonts w:hint="eastAsia" w:ascii="仿宋_GB2312" w:hAnsi="仿宋_GB2312" w:eastAsia="仿宋_GB2312" w:cs="仿宋_GB2312"/>
          <w:kern w:val="0"/>
          <w:sz w:val="32"/>
          <w:szCs w:val="32"/>
        </w:rPr>
        <w:t>施工单位应当</w:t>
      </w:r>
      <w:r>
        <w:rPr>
          <w:rFonts w:hint="eastAsia" w:ascii="仿宋_GB2312" w:hAnsi="仿宋_GB2312" w:eastAsia="仿宋_GB2312" w:cs="仿宋_GB2312"/>
          <w:kern w:val="0"/>
          <w:sz w:val="32"/>
          <w:szCs w:val="32"/>
          <w:lang w:val="en-US" w:eastAsia="zh-CN"/>
        </w:rPr>
        <w:t>落实</w:t>
      </w:r>
      <w:r>
        <w:rPr>
          <w:rFonts w:hint="eastAsia" w:ascii="仿宋_GB2312" w:hAnsi="仿宋_GB2312" w:eastAsia="仿宋_GB2312" w:cs="仿宋_GB2312"/>
          <w:kern w:val="0"/>
          <w:sz w:val="32"/>
          <w:szCs w:val="32"/>
        </w:rPr>
        <w:t>安全生产主体责任，加强施工活动的安全管理，依法履行下列安全责任：</w:t>
      </w:r>
    </w:p>
    <w:p w14:paraId="2118A46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一）工程开工前，施工项目负责人应当签署《施工安全管理承诺书》《安全责任清单》，并留存备查。涉及动火作业的，要在动火作业施工前办理动火作业证，动火作业证上必须明确动火作业风险和管控措施，经管理使用单位分管负责人审批同意后，方可实施。涉及压力管道等特种设备安装的，要在安装前依法办理安装告知和申报监督检验。</w:t>
      </w:r>
    </w:p>
    <w:p w14:paraId="72ADB75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二）施工前应当按照安全生产法律法规及相关标准要求，建立、健全安全生产责任制和安全生产规章制度。制定安全可靠的施工方案，明确施工安全风险、注意事项、禁止行为和应急保障、职责分工，严格落实各项安全生产措施。</w:t>
      </w:r>
    </w:p>
    <w:p w14:paraId="51B7CFC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三）保障安全生产经费的投入，安全生产费用按规定规范计取及使用；使用合格的建筑材料、建筑构配件、工具、器材和设备设施；配备符合规范标准的安全防护用品和防护装置，督促进入现场及现场施工的人员正确穿戴和规范使用安全防护用品。</w:t>
      </w:r>
    </w:p>
    <w:p w14:paraId="7E2EC42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（四）加强施工现场的安全管理，应配备专人负责施工现场安全管理工作，及时排查整改事故隐患，纠正施工人员的违法违规行为。</w:t>
      </w:r>
    </w:p>
    <w:p w14:paraId="13EBE7B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（五）涉及电焊、气焊、气割等特种作业以及实施特种设备焊接的人员，必须具备相应动火作业安全技能。用工单位应履行证书查验责任，安排持证人员进行电焊、气焊、气割动火作业。</w:t>
      </w:r>
    </w:p>
    <w:p w14:paraId="51DD6D6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（六）严格落实对水、电、油、气、通信等管线和城市道桥、地铁隧道等影响公共安全的公共设施设备的安全保护措施。</w:t>
      </w:r>
    </w:p>
    <w:p w14:paraId="76C7D18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（七）动火作业必须符合《焊接与切割安全》（GB9448）等相关标准的要求。作业期间应严格做到“六必须”：</w:t>
      </w:r>
      <w:r>
        <w:rPr>
          <w:rFonts w:hint="eastAsia" w:ascii="仿宋_GB2312" w:hAnsi="仿宋_GB2312" w:eastAsia="仿宋_GB2312" w:cs="仿宋_GB2312"/>
          <w:b/>
          <w:bCs/>
          <w:kern w:val="0"/>
          <w:sz w:val="32"/>
          <w:szCs w:val="32"/>
        </w:rPr>
        <w:t>必须</w:t>
      </w:r>
      <w:r>
        <w:rPr>
          <w:rFonts w:hint="eastAsia" w:ascii="仿宋_GB2312" w:hAnsi="仿宋_GB2312" w:eastAsia="仿宋_GB2312" w:cs="仿宋_GB2312"/>
          <w:kern w:val="0"/>
          <w:sz w:val="32"/>
          <w:szCs w:val="32"/>
        </w:rPr>
        <w:t>清理周边可燃物和易燃易爆物质，动火作业区域与其他区域必须进行有效防火分隔；</w:t>
      </w:r>
      <w:r>
        <w:rPr>
          <w:rFonts w:hint="eastAsia" w:ascii="仿宋_GB2312" w:hAnsi="仿宋_GB2312" w:eastAsia="仿宋_GB2312" w:cs="仿宋_GB2312"/>
          <w:b/>
          <w:bCs/>
          <w:kern w:val="0"/>
          <w:sz w:val="32"/>
          <w:szCs w:val="32"/>
        </w:rPr>
        <w:t>必须</w:t>
      </w:r>
      <w:r>
        <w:rPr>
          <w:rFonts w:hint="eastAsia" w:ascii="仿宋_GB2312" w:hAnsi="仿宋_GB2312" w:eastAsia="仿宋_GB2312" w:cs="仿宋_GB2312"/>
          <w:kern w:val="0"/>
          <w:sz w:val="32"/>
          <w:szCs w:val="32"/>
        </w:rPr>
        <w:t>配备相应的消防器材，保障消防用水；</w:t>
      </w:r>
      <w:r>
        <w:rPr>
          <w:rFonts w:hint="eastAsia" w:ascii="仿宋_GB2312" w:hAnsi="仿宋_GB2312" w:eastAsia="仿宋_GB2312" w:cs="仿宋_GB2312"/>
          <w:b/>
          <w:bCs/>
          <w:kern w:val="0"/>
          <w:sz w:val="32"/>
          <w:szCs w:val="32"/>
        </w:rPr>
        <w:t>必须</w:t>
      </w:r>
      <w:r>
        <w:rPr>
          <w:rFonts w:hint="eastAsia" w:ascii="仿宋_GB2312" w:hAnsi="仿宋_GB2312" w:eastAsia="仿宋_GB2312" w:cs="仿宋_GB2312"/>
          <w:kern w:val="0"/>
          <w:sz w:val="32"/>
          <w:szCs w:val="32"/>
        </w:rPr>
        <w:t>在现场设置警戒线或者安全标识；</w:t>
      </w:r>
      <w:r>
        <w:rPr>
          <w:rFonts w:hint="eastAsia" w:ascii="仿宋_GB2312" w:hAnsi="仿宋_GB2312" w:eastAsia="仿宋_GB2312" w:cs="仿宋_GB2312"/>
          <w:b/>
          <w:bCs/>
          <w:kern w:val="0"/>
          <w:sz w:val="32"/>
          <w:szCs w:val="32"/>
        </w:rPr>
        <w:t>必须</w:t>
      </w:r>
      <w:r>
        <w:rPr>
          <w:rFonts w:hint="eastAsia" w:ascii="仿宋_GB2312" w:hAnsi="仿宋_GB2312" w:eastAsia="仿宋_GB2312" w:cs="仿宋_GB2312"/>
          <w:kern w:val="0"/>
          <w:sz w:val="32"/>
          <w:szCs w:val="32"/>
        </w:rPr>
        <w:t>保障疏散通道、安全出口、消防车通道畅通；</w:t>
      </w:r>
      <w:r>
        <w:rPr>
          <w:rFonts w:hint="eastAsia" w:ascii="仿宋_GB2312" w:hAnsi="仿宋_GB2312" w:eastAsia="仿宋_GB2312" w:cs="仿宋_GB2312"/>
          <w:b/>
          <w:bCs/>
          <w:kern w:val="0"/>
          <w:sz w:val="32"/>
          <w:szCs w:val="32"/>
        </w:rPr>
        <w:t>必须</w:t>
      </w:r>
      <w:r>
        <w:rPr>
          <w:rFonts w:hint="eastAsia" w:ascii="仿宋_GB2312" w:hAnsi="仿宋_GB2312" w:eastAsia="仿宋_GB2312" w:cs="仿宋_GB2312"/>
          <w:kern w:val="0"/>
          <w:sz w:val="32"/>
          <w:szCs w:val="32"/>
        </w:rPr>
        <w:t>避免与具有火灾、爆炸风险的作业产生交叉；</w:t>
      </w:r>
      <w:r>
        <w:rPr>
          <w:rFonts w:hint="eastAsia" w:ascii="仿宋_GB2312" w:hAnsi="仿宋_GB2312" w:eastAsia="仿宋_GB2312" w:cs="仿宋_GB2312"/>
          <w:b/>
          <w:bCs/>
          <w:kern w:val="0"/>
          <w:sz w:val="32"/>
          <w:szCs w:val="32"/>
        </w:rPr>
        <w:t>必须</w:t>
      </w:r>
      <w:r>
        <w:rPr>
          <w:rFonts w:hint="eastAsia" w:ascii="仿宋_GB2312" w:hAnsi="仿宋_GB2312" w:eastAsia="仿宋_GB2312" w:cs="仿宋_GB2312"/>
          <w:kern w:val="0"/>
          <w:sz w:val="32"/>
          <w:szCs w:val="32"/>
        </w:rPr>
        <w:t>安排专门人员进行现场全过程监护。</w:t>
      </w:r>
    </w:p>
    <w:p w14:paraId="3DF339E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（八）施工现场涉及使用危险物品的，应当严格按照危险物品安全管理相关规定管理。</w:t>
      </w:r>
    </w:p>
    <w:p w14:paraId="627BAB8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（九）涉及建筑主体和承重结构变动的，需按照原设计单位或具有相应资质条件的设计单位出具的设计方案施工；没有设计方案，不得施工。</w:t>
      </w:r>
    </w:p>
    <w:p w14:paraId="4171A5B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（十）对施工作业人员进行安全生产作业交底，保证施工作业人员充分了解施工作业中的安全风险、注意事项、禁止行为和应急措施。</w:t>
      </w:r>
    </w:p>
    <w:p w14:paraId="73547D5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（十一）加强对施工人员安全生产及消防安全培训教育，不得使用未经安全生产培训或安全生产培训不合格的人员上岗作业。</w:t>
      </w:r>
    </w:p>
    <w:p w14:paraId="5A0CA9F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（十二）依法为从业人员缴纳工伤保险费，为施工现场从事危险作业的人员办理意外伤害保险。</w:t>
      </w:r>
    </w:p>
    <w:p w14:paraId="78EA244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（十三）落实法律法规、规章以及相关技术标准、规范规定的其他要求。</w:t>
      </w:r>
    </w:p>
    <w:p w14:paraId="6EC3AFF8">
      <w:pPr>
        <w:pStyle w:val="2"/>
        <w:rPr>
          <w:rFonts w:hint="eastAsia"/>
        </w:rPr>
      </w:pPr>
    </w:p>
    <w:p w14:paraId="017348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第三章  监管责任</w:t>
      </w:r>
    </w:p>
    <w:p w14:paraId="6472562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eastAsia="zh-CN"/>
        </w:rPr>
        <w:t>湖滨</w:t>
      </w:r>
      <w:r>
        <w:rPr>
          <w:rFonts w:hint="eastAsia" w:ascii="仿宋_GB2312" w:hAnsi="仿宋_GB2312" w:eastAsia="仿宋_GB2312" w:cs="仿宋_GB2312"/>
          <w:sz w:val="32"/>
          <w:szCs w:val="32"/>
        </w:rPr>
        <w:t>区限额以下工程安全生产管理联席会议制度，在区安委会办公室指导下，负责统筹全区限额以下工程管理工作，联席会议办公室设在区</w:t>
      </w:r>
      <w:r>
        <w:rPr>
          <w:rFonts w:hint="eastAsia" w:ascii="仿宋_GB2312" w:hAnsi="仿宋_GB2312" w:eastAsia="仿宋_GB2312" w:cs="仿宋_GB2312"/>
          <w:sz w:val="32"/>
          <w:szCs w:val="32"/>
          <w:lang w:val="en-US" w:eastAsia="zh-CN"/>
        </w:rPr>
        <w:t>建设局</w:t>
      </w:r>
      <w:r>
        <w:rPr>
          <w:rFonts w:hint="eastAsia" w:ascii="仿宋_GB2312" w:hAnsi="仿宋_GB2312" w:eastAsia="仿宋_GB2312" w:cs="仿宋_GB2312"/>
          <w:sz w:val="32"/>
          <w:szCs w:val="32"/>
        </w:rPr>
        <w:t>，成员单位区</w:t>
      </w:r>
      <w:r>
        <w:rPr>
          <w:rFonts w:hint="eastAsia" w:ascii="仿宋_GB2312" w:hAnsi="仿宋_GB2312" w:eastAsia="仿宋_GB2312" w:cs="仿宋_GB2312"/>
          <w:sz w:val="32"/>
          <w:szCs w:val="32"/>
          <w:lang w:val="en-US" w:eastAsia="zh-CN"/>
        </w:rPr>
        <w:t>教体局</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val="en-US" w:eastAsia="zh-CN"/>
        </w:rPr>
        <w:t>工信局</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val="en-US" w:eastAsia="zh-CN"/>
        </w:rPr>
        <w:t>自然资源局</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val="en-US" w:eastAsia="zh-CN"/>
        </w:rPr>
        <w:t>城管局</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val="en-US" w:eastAsia="zh-CN"/>
        </w:rPr>
        <w:t>交通局</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val="en-US" w:eastAsia="zh-CN"/>
        </w:rPr>
        <w:t>水利局</w:t>
      </w:r>
      <w:r>
        <w:rPr>
          <w:rFonts w:hint="eastAsia" w:ascii="仿宋_GB2312" w:hAnsi="仿宋_GB2312" w:eastAsia="仿宋_GB2312" w:cs="仿宋_GB2312"/>
          <w:sz w:val="32"/>
          <w:szCs w:val="32"/>
        </w:rPr>
        <w:t>、区农业农村局、区</w:t>
      </w:r>
      <w:r>
        <w:rPr>
          <w:rFonts w:hint="eastAsia" w:ascii="仿宋_GB2312" w:hAnsi="仿宋_GB2312" w:eastAsia="仿宋_GB2312" w:cs="仿宋_GB2312"/>
          <w:sz w:val="32"/>
          <w:szCs w:val="32"/>
          <w:lang w:val="en-US" w:eastAsia="zh-CN"/>
        </w:rPr>
        <w:t>卫健委</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val="en-US" w:eastAsia="zh-CN"/>
        </w:rPr>
        <w:t>应急</w:t>
      </w:r>
      <w:r>
        <w:rPr>
          <w:rFonts w:hint="eastAsia" w:ascii="仿宋_GB2312" w:hAnsi="仿宋_GB2312" w:eastAsia="仿宋_GB2312" w:cs="仿宋_GB2312"/>
          <w:sz w:val="32"/>
          <w:szCs w:val="32"/>
        </w:rPr>
        <w:t>管理</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val="en-US" w:eastAsia="zh-CN"/>
        </w:rPr>
        <w:t>消防救援大队</w:t>
      </w:r>
      <w:r>
        <w:rPr>
          <w:rFonts w:hint="eastAsia" w:ascii="仿宋_GB2312" w:hAnsi="仿宋_GB2312" w:eastAsia="仿宋_GB2312" w:cs="仿宋_GB2312"/>
          <w:sz w:val="32"/>
          <w:szCs w:val="32"/>
        </w:rPr>
        <w:t>等行业主管</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综合监管部门(以下简称区级行业主管部门)，依据工作职责负责各行业范围内限额以下工程的安全生产指导和服务工作。各</w:t>
      </w:r>
      <w:r>
        <w:rPr>
          <w:rFonts w:hint="eastAsia" w:ascii="仿宋_GB2312" w:hAnsi="仿宋_GB2312" w:eastAsia="仿宋_GB2312" w:cs="仿宋_GB2312"/>
          <w:sz w:val="32"/>
          <w:szCs w:val="32"/>
          <w:lang w:val="en-US" w:eastAsia="zh-CN"/>
        </w:rPr>
        <w:t>乡</w:t>
      </w:r>
      <w:r>
        <w:rPr>
          <w:rFonts w:hint="eastAsia" w:ascii="仿宋_GB2312" w:hAnsi="仿宋_GB2312" w:eastAsia="仿宋_GB2312" w:cs="仿宋_GB2312"/>
          <w:sz w:val="32"/>
          <w:szCs w:val="32"/>
        </w:rPr>
        <w:t>人民政府、街道办事处、</w:t>
      </w:r>
      <w:r>
        <w:rPr>
          <w:rFonts w:hint="eastAsia" w:ascii="仿宋_GB2312" w:hAnsi="仿宋_GB2312" w:eastAsia="仿宋_GB2312" w:cs="仿宋_GB2312"/>
          <w:sz w:val="32"/>
          <w:szCs w:val="32"/>
          <w:lang w:val="en-US" w:eastAsia="zh-CN"/>
        </w:rPr>
        <w:t>工业园区</w:t>
      </w:r>
      <w:r>
        <w:rPr>
          <w:rFonts w:hint="eastAsia" w:ascii="仿宋_GB2312" w:hAnsi="仿宋_GB2312" w:eastAsia="仿宋_GB2312" w:cs="仿宋_GB2312"/>
          <w:sz w:val="32"/>
          <w:szCs w:val="32"/>
        </w:rPr>
        <w:t>对辖区内限额以下工程安全生产实施监督管理和指导、服务。区政府加强人员、经费保障、</w:t>
      </w:r>
      <w:r>
        <w:rPr>
          <w:rFonts w:hint="eastAsia" w:ascii="仿宋_GB2312" w:hAnsi="仿宋_GB2312" w:eastAsia="仿宋_GB2312" w:cs="仿宋_GB2312"/>
          <w:sz w:val="32"/>
          <w:szCs w:val="32"/>
          <w:lang w:val="en-US" w:eastAsia="zh-CN"/>
        </w:rPr>
        <w:t>统筹</w:t>
      </w:r>
      <w:r>
        <w:rPr>
          <w:rFonts w:hint="eastAsia" w:ascii="仿宋_GB2312" w:hAnsi="仿宋_GB2312" w:eastAsia="仿宋_GB2312" w:cs="仿宋_GB2312"/>
          <w:sz w:val="32"/>
          <w:szCs w:val="32"/>
        </w:rPr>
        <w:t>组织各</w:t>
      </w:r>
      <w:r>
        <w:rPr>
          <w:rFonts w:hint="eastAsia" w:ascii="仿宋_GB2312" w:hAnsi="仿宋_GB2312" w:eastAsia="仿宋_GB2312" w:cs="仿宋_GB2312"/>
          <w:sz w:val="32"/>
          <w:szCs w:val="32"/>
          <w:lang w:val="en-US" w:eastAsia="zh-CN"/>
        </w:rPr>
        <w:t>乡</w:t>
      </w:r>
      <w:r>
        <w:rPr>
          <w:rFonts w:hint="eastAsia" w:ascii="仿宋_GB2312" w:hAnsi="仿宋_GB2312" w:eastAsia="仿宋_GB2312" w:cs="仿宋_GB2312"/>
          <w:sz w:val="32"/>
          <w:szCs w:val="32"/>
          <w:lang w:eastAsia="zh-CN"/>
        </w:rPr>
        <w:t>人民政府、</w:t>
      </w:r>
      <w:r>
        <w:rPr>
          <w:rFonts w:hint="eastAsia" w:ascii="仿宋_GB2312" w:hAnsi="仿宋_GB2312" w:eastAsia="仿宋_GB2312" w:cs="仿宋_GB2312"/>
          <w:sz w:val="32"/>
          <w:szCs w:val="32"/>
        </w:rPr>
        <w:t>街道办事处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工业园区</w:t>
      </w:r>
      <w:r>
        <w:rPr>
          <w:rFonts w:hint="eastAsia" w:ascii="仿宋_GB2312" w:hAnsi="仿宋_GB2312" w:eastAsia="仿宋_GB2312" w:cs="仿宋_GB2312"/>
          <w:sz w:val="32"/>
          <w:szCs w:val="32"/>
        </w:rPr>
        <w:t>加强限额以下工程安全生产监管力量，实现</w:t>
      </w:r>
      <w:r>
        <w:rPr>
          <w:rFonts w:hint="eastAsia" w:ascii="仿宋_GB2312" w:hAnsi="仿宋_GB2312" w:eastAsia="仿宋_GB2312" w:cs="仿宋_GB2312"/>
          <w:sz w:val="32"/>
          <w:szCs w:val="32"/>
          <w:lang w:val="en-US" w:eastAsia="zh-CN"/>
        </w:rPr>
        <w:t>辖区</w:t>
      </w:r>
      <w:r>
        <w:rPr>
          <w:rFonts w:hint="eastAsia" w:ascii="仿宋_GB2312" w:hAnsi="仿宋_GB2312" w:eastAsia="仿宋_GB2312" w:cs="仿宋_GB2312"/>
          <w:sz w:val="32"/>
          <w:szCs w:val="32"/>
        </w:rPr>
        <w:t>内限额以下工程安全生产的规范化监管。</w:t>
      </w:r>
    </w:p>
    <w:p w14:paraId="0E704F3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限额以下工程施工安全管理坚持区级统筹、</w:t>
      </w:r>
      <w:r>
        <w:rPr>
          <w:rFonts w:hint="eastAsia" w:ascii="仿宋_GB2312" w:hAnsi="仿宋_GB2312" w:eastAsia="仿宋_GB2312" w:cs="仿宋_GB2312"/>
          <w:sz w:val="32"/>
          <w:szCs w:val="32"/>
          <w:lang w:val="en-US" w:eastAsia="zh-CN"/>
        </w:rPr>
        <w:t>行业指导、</w:t>
      </w:r>
      <w:r>
        <w:rPr>
          <w:rFonts w:hint="eastAsia" w:ascii="仿宋_GB2312" w:hAnsi="仿宋_GB2312" w:eastAsia="仿宋_GB2312" w:cs="仿宋_GB2312"/>
          <w:sz w:val="32"/>
          <w:szCs w:val="32"/>
        </w:rPr>
        <w:t>属地负责、社会监督的工作原则。</w:t>
      </w:r>
      <w:r>
        <w:rPr>
          <w:rFonts w:hint="eastAsia" w:ascii="仿宋_GB2312" w:hAnsi="仿宋_GB2312" w:eastAsia="仿宋_GB2312" w:cs="仿宋_GB2312"/>
          <w:kern w:val="0"/>
          <w:sz w:val="32"/>
          <w:szCs w:val="32"/>
        </w:rPr>
        <w:t>以乡人民政府、街道办事处</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工业园区</w:t>
      </w:r>
      <w:r>
        <w:rPr>
          <w:rFonts w:hint="eastAsia" w:ascii="仿宋_GB2312" w:hAnsi="仿宋_GB2312" w:eastAsia="仿宋_GB2312" w:cs="仿宋_GB2312"/>
          <w:kern w:val="0"/>
          <w:sz w:val="32"/>
          <w:szCs w:val="32"/>
        </w:rPr>
        <w:t>〔以下简称“乡（街道）”〕网格化巡查为主，社区居委会（以下简称“社区”）巡查与物业服务企业、公众参与为辅，属地管理和行业督导相结合的方式实施。实行全覆盖、无盲区管控。依据“基于风险、差别监管”的工作原则，重点加强对人员密集场所涉及动火作业的限额以下小型工程安全管理。</w:t>
      </w:r>
    </w:p>
    <w:p w14:paraId="089464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第十</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kern w:val="0"/>
          <w:sz w:val="32"/>
          <w:szCs w:val="32"/>
        </w:rPr>
        <w:t>各相行业主管部门建立会商、信息共享机制，按照“三管三必须”原则，履行以下职责：</w:t>
      </w:r>
    </w:p>
    <w:p w14:paraId="378E8A15">
      <w:pPr>
        <w:keepNext w:val="0"/>
        <w:keepLines w:val="0"/>
        <w:pageBreakBefore w:val="0"/>
        <w:widowControl/>
        <w:kinsoku/>
        <w:overflowPunct/>
        <w:topLinePunct w:val="0"/>
        <w:autoSpaceDE/>
        <w:autoSpaceDN/>
        <w:bidi w:val="0"/>
        <w:adjustRightIn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rPr>
        <w:t>负责指导本行业范围内限额以下小型工程施工安全的监督管理；</w:t>
      </w:r>
      <w:r>
        <w:rPr>
          <w:rFonts w:hint="eastAsia" w:ascii="仿宋_GB2312" w:hAnsi="仿宋_GB2312" w:eastAsia="仿宋_GB2312" w:cs="仿宋_GB2312"/>
          <w:kern w:val="0"/>
          <w:sz w:val="32"/>
          <w:szCs w:val="32"/>
          <w:lang w:val="en-US" w:eastAsia="zh-CN"/>
        </w:rPr>
        <w:t>与相关行业主管部门、属地乡、街道</w:t>
      </w:r>
      <w:r>
        <w:rPr>
          <w:rFonts w:hint="eastAsia" w:ascii="仿宋_GB2312" w:hAnsi="仿宋_GB2312" w:eastAsia="仿宋_GB2312" w:cs="仿宋_GB2312"/>
          <w:kern w:val="0"/>
          <w:sz w:val="32"/>
          <w:szCs w:val="32"/>
        </w:rPr>
        <w:t>共享限额以下小型工程施工安全监管工作信息；研究解决限额以下小型工程施工安全监管中存在的困难问题。</w:t>
      </w:r>
    </w:p>
    <w:p w14:paraId="2F241243">
      <w:pPr>
        <w:keepNext w:val="0"/>
        <w:keepLines w:val="0"/>
        <w:pageBreakBefore w:val="0"/>
        <w:widowControl/>
        <w:kinsoku/>
        <w:overflowPunct/>
        <w:topLinePunct w:val="0"/>
        <w:autoSpaceDE/>
        <w:autoSpaceDN/>
        <w:bidi w:val="0"/>
        <w:adjustRightIn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rPr>
        <w:t>加强限额以下小型工程施工安全业务培训，提高基层监管人员及检查人员对限额以下小型工程施工安全的监管能力，强化施工现场管理人员、施工人员安全管理水平和应变应急处置能力</w:t>
      </w:r>
      <w:r>
        <w:rPr>
          <w:rFonts w:hint="eastAsia" w:ascii="仿宋_GB2312" w:hAnsi="仿宋_GB2312" w:eastAsia="仿宋_GB2312" w:cs="仿宋_GB2312"/>
          <w:b/>
          <w:bCs/>
          <w:kern w:val="0"/>
          <w:sz w:val="32"/>
          <w:szCs w:val="32"/>
        </w:rPr>
        <w:t>。</w:t>
      </w:r>
    </w:p>
    <w:p w14:paraId="389E2694">
      <w:pPr>
        <w:keepNext w:val="0"/>
        <w:keepLines w:val="0"/>
        <w:pageBreakBefore w:val="0"/>
        <w:widowControl/>
        <w:kinsoku/>
        <w:overflowPunct/>
        <w:topLinePunct w:val="0"/>
        <w:autoSpaceDE/>
        <w:autoSpaceDN/>
        <w:bidi w:val="0"/>
        <w:adjustRightIn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依职责及时处理乡（街道）报送的事故隐患信息。</w:t>
      </w:r>
    </w:p>
    <w:p w14:paraId="63661D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其他法律法规、规章及行政规范性文件规定的职责。</w:t>
      </w:r>
    </w:p>
    <w:p w14:paraId="79E0715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十一</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人民政府，街道办事处，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rPr>
        <w:t>负责组织对限额以下工程施工现场进行检查，及时发现、消除施工安全隐患，实现对限额以下工程安全管理能知道、能落责、能监管、能处罚、能考核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履行下列职责：</w:t>
      </w:r>
    </w:p>
    <w:p w14:paraId="72B107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明确负责限额以下小型工程施工安全生产监督管理的有关工作机构及其职责，加强限额以下小型工程施工安全生产监管力量建设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负责具体组织实施辖区内限额以下工程的安全生产监管工作，建立健全监管制度、责任体系、监管流程等;</w:t>
      </w:r>
    </w:p>
    <w:p w14:paraId="2CD921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负责辖区内限额以下工程的信息登记，对建设单位或个人提交的施工活动资料、施工企业资质等进行审查把关，依据《</w:t>
      </w:r>
      <w:r>
        <w:rPr>
          <w:rFonts w:hint="eastAsia" w:ascii="仿宋_GB2312" w:hAnsi="仿宋_GB2312" w:eastAsia="仿宋_GB2312" w:cs="仿宋_GB2312"/>
          <w:sz w:val="32"/>
          <w:szCs w:val="32"/>
          <w:lang w:eastAsia="zh-CN"/>
        </w:rPr>
        <w:t>湖滨</w:t>
      </w:r>
      <w:r>
        <w:rPr>
          <w:rFonts w:hint="eastAsia" w:ascii="仿宋_GB2312" w:hAnsi="仿宋_GB2312" w:eastAsia="仿宋_GB2312" w:cs="仿宋_GB2312"/>
          <w:sz w:val="32"/>
          <w:szCs w:val="32"/>
        </w:rPr>
        <w:t>区限额以下工程开工建设管理指引》(附件1)，提前告知安全生产注意事项和禁止行为。建立监管台账，完善项目信息，及时</w:t>
      </w:r>
      <w:r>
        <w:rPr>
          <w:rFonts w:hint="eastAsia" w:ascii="仿宋_GB2312" w:hAnsi="仿宋_GB2312" w:eastAsia="仿宋_GB2312" w:cs="仿宋_GB2312"/>
          <w:sz w:val="32"/>
          <w:szCs w:val="32"/>
          <w:lang w:val="en-US" w:eastAsia="zh-CN"/>
        </w:rPr>
        <w:t>填报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湖滨区</w:t>
      </w:r>
      <w:r>
        <w:rPr>
          <w:rFonts w:hint="eastAsia" w:ascii="仿宋_GB2312" w:hAnsi="仿宋_GB2312" w:eastAsia="仿宋_GB2312" w:cs="仿宋_GB2312"/>
          <w:sz w:val="32"/>
          <w:szCs w:val="32"/>
        </w:rPr>
        <w:t>限额以下工程开工建设信息登记表》(附件2)信息，全面掌握辖区内限额以下工程基本信息、工程进度、人员资质等情</w:t>
      </w:r>
      <w:r>
        <w:rPr>
          <w:rFonts w:hint="eastAsia" w:ascii="仿宋_GB2312" w:hAnsi="仿宋_GB2312" w:eastAsia="仿宋_GB2312" w:cs="仿宋_GB2312"/>
          <w:sz w:val="32"/>
          <w:szCs w:val="32"/>
          <w:lang w:val="en-US" w:eastAsia="zh-CN"/>
        </w:rPr>
        <w:t>况。</w:t>
      </w:r>
    </w:p>
    <w:p w14:paraId="5FFB2D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）对建设单位或个人告知安全生产信息的，发放《人员密集场所涉及动火作业的限额以下小型工程安全生产信息表》《动火作业安全告知书》，提醒安全生产注意事项和禁止行为。</w:t>
      </w:r>
      <w:r>
        <w:rPr>
          <w:rFonts w:hint="eastAsia" w:ascii="仿宋_GB2312" w:hAnsi="仿宋_GB2312" w:eastAsia="仿宋_GB2312" w:cs="仿宋_GB2312"/>
          <w:sz w:val="32"/>
          <w:szCs w:val="32"/>
          <w:lang w:val="en-US" w:eastAsia="zh-CN"/>
        </w:rPr>
        <w:t xml:space="preserve">     </w:t>
      </w:r>
    </w:p>
    <w:p w14:paraId="3E68AE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按照履职清单，对辖区内人员密集场所涉及动火作业的限额以下小型工程的生产经营单位安全生产状况进行监督检查。发现未告知擅自进行动火作业的，督促指导建设单位或个人按照规定及时提交安全生产信息。</w:t>
      </w:r>
    </w:p>
    <w:p w14:paraId="732835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发现违规动火作业的，要立即进行劝阻，根据具体情形及时报告属地消防救援、教育、民政、建设、交通运输、商务、文化和旅游、卫生健康、应急管理、体育、宗教、铁路、民航、文物等部门，由相关部门依法进行核查处理。</w:t>
      </w:r>
    </w:p>
    <w:p w14:paraId="09509A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辖区内限额以下工程安全巡查执法制度，对发现的限额以下工程施工现场生产安全事故隐患或者安全生产违法违规行为，要及时予以制止纠正并督促整改，违法违规情节严重的应依法进行行政处罚或上报区相关部门依法查处;</w:t>
      </w:r>
    </w:p>
    <w:p w14:paraId="55CCE894">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依据安全生产法，依法</w:t>
      </w:r>
      <w:r>
        <w:rPr>
          <w:rFonts w:hint="eastAsia" w:ascii="仿宋_GB2312" w:hAnsi="仿宋_GB2312" w:eastAsia="仿宋_GB2312" w:cs="仿宋_GB2312"/>
          <w:sz w:val="32"/>
          <w:szCs w:val="32"/>
          <w:lang w:val="en-US" w:eastAsia="zh-CN"/>
        </w:rPr>
        <w:t>查处限额</w:t>
      </w:r>
      <w:r>
        <w:rPr>
          <w:rFonts w:hint="eastAsia" w:ascii="仿宋_GB2312" w:hAnsi="仿宋_GB2312" w:eastAsia="仿宋_GB2312" w:cs="仿宋_GB2312"/>
          <w:sz w:val="32"/>
          <w:szCs w:val="32"/>
        </w:rPr>
        <w:t>以下工程施工作业中存在的安全生产违法行为和其他违法行为，及时将权限范围以外的违法违规行为报送相关部门依法处理。</w:t>
      </w:r>
    </w:p>
    <w:p w14:paraId="280814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开展辖区内</w:t>
      </w:r>
      <w:r>
        <w:rPr>
          <w:rFonts w:hint="eastAsia" w:ascii="仿宋_GB2312" w:hAnsi="仿宋_GB2312" w:eastAsia="仿宋_GB2312" w:cs="仿宋_GB2312"/>
          <w:sz w:val="32"/>
          <w:szCs w:val="32"/>
          <w:lang w:val="en-US" w:eastAsia="zh-CN"/>
        </w:rPr>
        <w:t>限额</w:t>
      </w:r>
      <w:r>
        <w:rPr>
          <w:rFonts w:hint="eastAsia" w:ascii="仿宋_GB2312" w:hAnsi="仿宋_GB2312" w:eastAsia="仿宋_GB2312" w:cs="仿宋_GB2312"/>
          <w:sz w:val="32"/>
          <w:szCs w:val="32"/>
        </w:rPr>
        <w:t>以下工程安全生产宣传培训教育工作，防范一线作业人员违章违规操作，提高人民</w:t>
      </w:r>
      <w:r>
        <w:rPr>
          <w:rFonts w:hint="eastAsia" w:ascii="仿宋_GB2312" w:hAnsi="仿宋_GB2312" w:eastAsia="仿宋_GB2312" w:cs="仿宋_GB2312"/>
          <w:sz w:val="32"/>
          <w:szCs w:val="32"/>
          <w:lang w:val="en-US" w:eastAsia="zh-CN"/>
        </w:rPr>
        <w:t>群</w:t>
      </w:r>
      <w:r>
        <w:rPr>
          <w:rFonts w:hint="eastAsia" w:ascii="仿宋_GB2312" w:hAnsi="仿宋_GB2312" w:eastAsia="仿宋_GB2312" w:cs="仿宋_GB2312"/>
          <w:sz w:val="32"/>
          <w:szCs w:val="32"/>
        </w:rPr>
        <w:t>众安全意识，鼓励发动市民积极举报违法违规行为;</w:t>
      </w:r>
    </w:p>
    <w:p w14:paraId="56A116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受理有关限额以下工程违法行为和安全隐患的投诉，及时组织核查处理;</w:t>
      </w:r>
    </w:p>
    <w:p w14:paraId="263DB4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负责完工</w:t>
      </w:r>
      <w:r>
        <w:rPr>
          <w:rFonts w:hint="eastAsia" w:ascii="仿宋_GB2312" w:hAnsi="仿宋_GB2312" w:eastAsia="仿宋_GB2312" w:cs="仿宋_GB2312"/>
          <w:sz w:val="32"/>
          <w:szCs w:val="32"/>
          <w:lang w:val="en-US" w:eastAsia="zh-CN"/>
        </w:rPr>
        <w:t>销</w:t>
      </w:r>
      <w:r>
        <w:rPr>
          <w:rFonts w:hint="eastAsia" w:ascii="仿宋_GB2312" w:hAnsi="仿宋_GB2312" w:eastAsia="仿宋_GB2312" w:cs="仿宋_GB2312"/>
          <w:sz w:val="32"/>
          <w:szCs w:val="32"/>
        </w:rPr>
        <w:t>账，限</w:t>
      </w:r>
      <w:r>
        <w:rPr>
          <w:rFonts w:hint="eastAsia" w:ascii="仿宋_GB2312" w:hAnsi="仿宋_GB2312" w:eastAsia="仿宋_GB2312" w:cs="仿宋_GB2312"/>
          <w:sz w:val="32"/>
          <w:szCs w:val="32"/>
          <w:lang w:eastAsia="zh-CN"/>
        </w:rPr>
        <w:t>额</w:t>
      </w:r>
      <w:r>
        <w:rPr>
          <w:rFonts w:hint="eastAsia" w:ascii="仿宋_GB2312" w:hAnsi="仿宋_GB2312" w:eastAsia="仿宋_GB2312" w:cs="仿宋_GB2312"/>
          <w:sz w:val="32"/>
          <w:szCs w:val="32"/>
        </w:rPr>
        <w:t>以下工程完成施工合同或者协议内容后，由建设单位或个人提交</w:t>
      </w:r>
      <w:r>
        <w:rPr>
          <w:rFonts w:hint="eastAsia" w:ascii="仿宋_GB2312" w:hAnsi="仿宋_GB2312" w:eastAsia="仿宋_GB2312" w:cs="仿宋_GB2312"/>
          <w:sz w:val="32"/>
          <w:szCs w:val="32"/>
          <w:lang w:val="en-US" w:eastAsia="zh-CN"/>
        </w:rPr>
        <w:t>完</w:t>
      </w:r>
      <w:r>
        <w:rPr>
          <w:rFonts w:hint="eastAsia" w:ascii="仿宋_GB2312" w:hAnsi="仿宋_GB2312" w:eastAsia="仿宋_GB2312" w:cs="仿宋_GB2312"/>
          <w:sz w:val="32"/>
          <w:szCs w:val="32"/>
        </w:rPr>
        <w:t>工证明，经确认完工的，及时</w:t>
      </w:r>
      <w:r>
        <w:rPr>
          <w:rFonts w:hint="eastAsia" w:ascii="仿宋_GB2312" w:hAnsi="仿宋_GB2312" w:eastAsia="仿宋_GB2312" w:cs="仿宋_GB2312"/>
          <w:sz w:val="32"/>
          <w:szCs w:val="32"/>
          <w:lang w:val="en-US" w:eastAsia="zh-CN"/>
        </w:rPr>
        <w:t>在台账中</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val="en-US" w:eastAsia="zh-CN"/>
        </w:rPr>
        <w:t>销账</w:t>
      </w:r>
      <w:r>
        <w:rPr>
          <w:rFonts w:hint="eastAsia" w:ascii="仿宋_GB2312" w:hAnsi="仿宋_GB2312" w:eastAsia="仿宋_GB2312" w:cs="仿宋_GB2312"/>
          <w:sz w:val="32"/>
          <w:szCs w:val="32"/>
        </w:rPr>
        <w:t>处理，终止监管;</w:t>
      </w:r>
    </w:p>
    <w:p w14:paraId="4DF714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其他法律、法规、规章以及上级规范性文件规定的职责。</w:t>
      </w:r>
    </w:p>
    <w:p w14:paraId="168288B7">
      <w:pPr>
        <w:keepNext w:val="0"/>
        <w:keepLines w:val="0"/>
        <w:pageBreakBefore w:val="0"/>
        <w:kinsoku/>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十二</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社区居委会</w:t>
      </w:r>
      <w:r>
        <w:rPr>
          <w:rFonts w:hint="eastAsia" w:ascii="仿宋_GB2312" w:hAnsi="仿宋_GB2312" w:eastAsia="仿宋_GB2312" w:cs="仿宋_GB2312"/>
          <w:sz w:val="32"/>
          <w:szCs w:val="32"/>
          <w:lang w:val="en-US" w:eastAsia="zh-CN"/>
        </w:rPr>
        <w:t>履行下列职责</w:t>
      </w:r>
      <w:r>
        <w:rPr>
          <w:rFonts w:hint="eastAsia" w:ascii="仿宋_GB2312" w:hAnsi="仿宋_GB2312" w:eastAsia="仿宋_GB2312" w:cs="仿宋_GB2312"/>
          <w:sz w:val="32"/>
          <w:szCs w:val="32"/>
          <w:lang w:eastAsia="zh-CN"/>
        </w:rPr>
        <w:t>：</w:t>
      </w:r>
    </w:p>
    <w:p w14:paraId="28C38E07">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（一）发现所辖区域内生产经营单位存在事故隐患或者安全生产违法行为，及时向乡（街道）或者有关部门报告。</w:t>
      </w:r>
    </w:p>
    <w:p w14:paraId="712C6933">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（二）落实消防安全管理人</w:t>
      </w:r>
      <w:r>
        <w:rPr>
          <w:rFonts w:hint="eastAsia" w:ascii="仿宋_GB2312" w:hAnsi="仿宋_GB2312" w:eastAsia="仿宋_GB2312" w:cs="仿宋_GB2312"/>
          <w:sz w:val="32"/>
          <w:szCs w:val="32"/>
          <w:lang w:val="en-US" w:eastAsia="zh-CN"/>
        </w:rPr>
        <w:t>员</w:t>
      </w:r>
      <w:r>
        <w:rPr>
          <w:rFonts w:hint="eastAsia" w:ascii="仿宋_GB2312" w:hAnsi="仿宋_GB2312" w:eastAsia="仿宋_GB2312" w:cs="仿宋_GB2312"/>
          <w:sz w:val="32"/>
          <w:szCs w:val="32"/>
        </w:rPr>
        <w:t>要求，强化对限额以下小型工程施工现场防火安全检查。</w:t>
      </w:r>
    </w:p>
    <w:p w14:paraId="2E267DD3">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（三）开展辖区内限额以下小型工程相关安全生产宣传教育工作，提高人民群众安全意识。</w:t>
      </w:r>
    </w:p>
    <w:p w14:paraId="7A4AABF5">
      <w:pPr>
        <w:keepNext w:val="0"/>
        <w:keepLines w:val="0"/>
        <w:pageBreakBefore w:val="0"/>
        <w:kinsoku/>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十三</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物业服务企业</w:t>
      </w:r>
      <w:r>
        <w:rPr>
          <w:rFonts w:hint="eastAsia" w:ascii="仿宋_GB2312" w:hAnsi="仿宋_GB2312" w:eastAsia="仿宋_GB2312" w:cs="仿宋_GB2312"/>
          <w:sz w:val="32"/>
          <w:szCs w:val="32"/>
          <w:lang w:val="en-US" w:eastAsia="zh-CN"/>
        </w:rPr>
        <w:t>履行下列职责</w:t>
      </w:r>
      <w:r>
        <w:rPr>
          <w:rFonts w:hint="eastAsia" w:ascii="仿宋_GB2312" w:hAnsi="仿宋_GB2312" w:eastAsia="仿宋_GB2312" w:cs="仿宋_GB2312"/>
          <w:sz w:val="32"/>
          <w:szCs w:val="32"/>
          <w:lang w:eastAsia="zh-CN"/>
        </w:rPr>
        <w:t>：</w:t>
      </w:r>
    </w:p>
    <w:p w14:paraId="1DB3C55A">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（一）开展物业管理区域内日常安全巡查工作，发现施工过程中的安全生产违法违规行为应当予以劝阻、制止，并向所在乡（街道）或有关部门报告，协助处理。</w:t>
      </w:r>
    </w:p>
    <w:p w14:paraId="14A6BE2D">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（二）将施工过程中安全生产有关注意事项、禁止行为等内容提前告知物业管理区域内建设单位。</w:t>
      </w:r>
    </w:p>
    <w:p w14:paraId="5BDA8BD4">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（三）发现涉及建筑主体和承重结构变动，但未经原设计单位或具有相应资质条件的设计单位出具设计方案，擅自施工的，应当立即制止，并及时报告乡（街道）或有关部门。</w:t>
      </w:r>
    </w:p>
    <w:p w14:paraId="5E0E0EDE">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（四）配合有关部门、乡（街道）开展物业管理区域内限额以下小型工程安全生产宣传教育。</w:t>
      </w:r>
    </w:p>
    <w:p w14:paraId="15E4E349">
      <w:pPr>
        <w:keepNext w:val="0"/>
        <w:keepLines w:val="0"/>
        <w:pageBreakBefore w:val="0"/>
        <w:kinsoku/>
        <w:overflowPunct/>
        <w:topLinePunct w:val="0"/>
        <w:autoSpaceDE/>
        <w:autoSpaceDN/>
        <w:bidi w:val="0"/>
        <w:adjustRightInd/>
        <w:spacing w:line="560" w:lineRule="exact"/>
        <w:jc w:val="both"/>
        <w:textAlignment w:val="auto"/>
        <w:rPr>
          <w:rFonts w:hint="eastAsia" w:ascii="黑体" w:hAnsi="黑体" w:eastAsia="黑体" w:cs="黑体"/>
          <w:b w:val="0"/>
          <w:bCs w:val="0"/>
          <w:sz w:val="32"/>
          <w:szCs w:val="32"/>
          <w:lang w:val="en-US" w:eastAsia="zh-CN"/>
        </w:rPr>
      </w:pPr>
    </w:p>
    <w:p w14:paraId="0771C822">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第四章  监管流程</w:t>
      </w:r>
    </w:p>
    <w:p w14:paraId="25C8D425">
      <w:pPr>
        <w:keepNext w:val="0"/>
        <w:keepLines w:val="0"/>
        <w:pageBreakBefore w:val="0"/>
        <w:kinsoku/>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限额以下小型工程开工前建设单位应当主动到乡（街道）进行信息登记。乡（街道）在受理信息登记时，应当对建设单位提交的信息进行核查，并督促引导建设单位按照规定落实相关主体责任。乡（街道）可根据实际委托社区、物业进行限额以下小型工程信息登记，具体实施办法由乡（街道）制定。乡（街道）进行信息登记时，发现以下情形的，分别作出相应处理：</w:t>
      </w:r>
    </w:p>
    <w:p w14:paraId="247F61A4">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（一）属于依法需要取得施工许可或者其他许可的，告知建设单位依法向有关部门申请取得相关许可证后方可开工，并及时报送相关部门跟进检查，防止未经许可擅自开工。</w:t>
      </w:r>
    </w:p>
    <w:p w14:paraId="72C3ECE6">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（二）属于依法应禁止、控停的违法建设活动，告知建设单位不得开工建设，并及时报告相关部门处理。</w:t>
      </w:r>
    </w:p>
    <w:p w14:paraId="56DAFF7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乡（街道）建立日常安全巡查（检查）制度，充分发挥网格化管理机制作用，整合协调街道网格员、相关行业部门下沉人员、社区工作人员、物业管理人员等力量，强化限额以下小型工程的日常巡查（检查）。各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人民政府，街道办事处，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lang w:val="en-US" w:eastAsia="zh-CN"/>
        </w:rPr>
        <w:t>组织开展巡查检查</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val="en-US" w:eastAsia="zh-CN"/>
        </w:rPr>
        <w:t>检查</w:t>
      </w:r>
      <w:r>
        <w:rPr>
          <w:rFonts w:hint="eastAsia" w:ascii="仿宋_GB2312" w:hAnsi="仿宋_GB2312" w:eastAsia="仿宋_GB2312" w:cs="仿宋_GB2312"/>
          <w:sz w:val="32"/>
          <w:szCs w:val="32"/>
        </w:rPr>
        <w:t>用表参考</w:t>
      </w: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rPr>
        <w:t>3)，应当重点进行以下方面的</w:t>
      </w:r>
      <w:r>
        <w:rPr>
          <w:rFonts w:hint="eastAsia" w:ascii="仿宋_GB2312" w:hAnsi="仿宋_GB2312" w:eastAsia="仿宋_GB2312" w:cs="仿宋_GB2312"/>
          <w:sz w:val="32"/>
          <w:szCs w:val="32"/>
          <w:lang w:val="en-US" w:eastAsia="zh-CN"/>
        </w:rPr>
        <w:t>检查：</w:t>
      </w:r>
    </w:p>
    <w:p w14:paraId="287F76BA">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工程是否办理信息登记手续;</w:t>
      </w:r>
    </w:p>
    <w:p w14:paraId="1EA34075">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是否委托具备相应资质的企业施工作业:</w:t>
      </w:r>
    </w:p>
    <w:p w14:paraId="49E50CBA">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作业人员是否经过培训上岗;</w:t>
      </w:r>
    </w:p>
    <w:p w14:paraId="1493D668">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作业人员是否正确穿戴劳保用品;</w:t>
      </w:r>
    </w:p>
    <w:p w14:paraId="425F75CD">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从事电焊施工、高处作业，临时用电。吊装、有限空间监护作业等特种作业的人员是否取得特种作业资格;</w:t>
      </w:r>
    </w:p>
    <w:p w14:paraId="56E32183">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动火作业是否经过审批。作业前是否清理可燃物，是否有专人看护，是否配备消防器材;</w:t>
      </w:r>
    </w:p>
    <w:p w14:paraId="0F9CFA20">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施工作业区域是否有护栏围挡、警示标志等安全防护措施;</w:t>
      </w:r>
    </w:p>
    <w:p w14:paraId="73298F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占道施工作业是否办理影响交通安全的占道施工许可手续;</w:t>
      </w:r>
    </w:p>
    <w:p w14:paraId="7309B1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对于勘察、</w:t>
      </w:r>
      <w:r>
        <w:rPr>
          <w:rFonts w:hint="eastAsia" w:ascii="仿宋_GB2312" w:hAnsi="仿宋_GB2312" w:eastAsia="仿宋_GB2312" w:cs="仿宋_GB2312"/>
          <w:sz w:val="32"/>
          <w:szCs w:val="32"/>
          <w:lang w:val="en-US" w:eastAsia="zh-CN"/>
        </w:rPr>
        <w:t>钻探</w:t>
      </w:r>
      <w:r>
        <w:rPr>
          <w:rFonts w:hint="eastAsia" w:ascii="仿宋_GB2312" w:hAnsi="仿宋_GB2312" w:eastAsia="仿宋_GB2312" w:cs="仿宋_GB2312"/>
          <w:sz w:val="32"/>
          <w:szCs w:val="32"/>
        </w:rPr>
        <w:t>、挖坑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打桩</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打井</w:t>
      </w:r>
      <w:r>
        <w:rPr>
          <w:rFonts w:hint="eastAsia" w:ascii="仿宋_GB2312" w:hAnsi="仿宋_GB2312" w:eastAsia="仿宋_GB2312" w:cs="仿宋_GB2312"/>
          <w:sz w:val="32"/>
          <w:szCs w:val="32"/>
        </w:rPr>
        <w:t>、打</w:t>
      </w:r>
      <w:r>
        <w:rPr>
          <w:rFonts w:hint="eastAsia" w:ascii="仿宋_GB2312" w:hAnsi="仿宋_GB2312" w:eastAsia="仿宋_GB2312" w:cs="仿宋_GB2312"/>
          <w:sz w:val="32"/>
          <w:szCs w:val="32"/>
          <w:lang w:val="en-US" w:eastAsia="zh-CN"/>
        </w:rPr>
        <w:t>夯</w:t>
      </w:r>
      <w:r>
        <w:rPr>
          <w:rFonts w:hint="eastAsia" w:ascii="仿宋_GB2312" w:hAnsi="仿宋_GB2312" w:eastAsia="仿宋_GB2312" w:cs="仿宋_GB2312"/>
          <w:sz w:val="32"/>
          <w:szCs w:val="32"/>
        </w:rPr>
        <w:t>、顶进，植树、</w:t>
      </w:r>
      <w:r>
        <w:rPr>
          <w:rFonts w:hint="eastAsia" w:ascii="仿宋_GB2312" w:hAnsi="仿宋_GB2312" w:eastAsia="仿宋_GB2312" w:cs="仿宋_GB2312"/>
          <w:sz w:val="32"/>
          <w:szCs w:val="32"/>
          <w:lang w:val="en-US" w:eastAsia="zh-CN"/>
        </w:rPr>
        <w:t>埋杆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堆物</w:t>
      </w:r>
      <w:r>
        <w:rPr>
          <w:rFonts w:hint="eastAsia" w:ascii="仿宋_GB2312" w:hAnsi="仿宋_GB2312" w:eastAsia="仿宋_GB2312" w:cs="仿宋_GB2312"/>
          <w:sz w:val="32"/>
          <w:szCs w:val="32"/>
        </w:rPr>
        <w:t>、爆破、取土等</w:t>
      </w:r>
      <w:r>
        <w:rPr>
          <w:rFonts w:hint="eastAsia" w:ascii="仿宋_GB2312" w:hAnsi="仿宋_GB2312" w:eastAsia="仿宋_GB2312" w:cs="仿宋_GB2312"/>
          <w:sz w:val="32"/>
          <w:szCs w:val="32"/>
          <w:lang w:val="en-US" w:eastAsia="zh-CN"/>
        </w:rPr>
        <w:t>各类</w:t>
      </w:r>
      <w:r>
        <w:rPr>
          <w:rFonts w:hint="eastAsia" w:ascii="仿宋_GB2312" w:hAnsi="仿宋_GB2312" w:eastAsia="仿宋_GB2312" w:cs="仿宋_GB2312"/>
          <w:sz w:val="32"/>
          <w:szCs w:val="32"/>
        </w:rPr>
        <w:t>需破坏路面(土体)结构、可能危及地下管线安全的作业，应检查是否已调查</w:t>
      </w:r>
      <w:r>
        <w:rPr>
          <w:rFonts w:hint="eastAsia" w:ascii="仿宋_GB2312" w:hAnsi="仿宋_GB2312" w:eastAsia="仿宋_GB2312" w:cs="仿宋_GB2312"/>
          <w:sz w:val="32"/>
          <w:szCs w:val="32"/>
          <w:lang w:val="en-US" w:eastAsia="zh-CN"/>
        </w:rPr>
        <w:t>清楚</w:t>
      </w:r>
      <w:r>
        <w:rPr>
          <w:rFonts w:hint="eastAsia" w:ascii="仿宋_GB2312" w:hAnsi="仿宋_GB2312" w:eastAsia="仿宋_GB2312" w:cs="仿宋_GB2312"/>
          <w:sz w:val="32"/>
          <w:szCs w:val="32"/>
        </w:rPr>
        <w:t>施工区域地下管线</w:t>
      </w:r>
      <w:r>
        <w:rPr>
          <w:rFonts w:hint="eastAsia" w:ascii="仿宋_GB2312" w:hAnsi="仿宋_GB2312" w:eastAsia="仿宋_GB2312" w:cs="仿宋_GB2312"/>
          <w:sz w:val="32"/>
          <w:szCs w:val="32"/>
          <w:lang w:val="en-US" w:eastAsia="zh-CN"/>
        </w:rPr>
        <w:t>情况</w:t>
      </w:r>
      <w:r>
        <w:rPr>
          <w:rFonts w:hint="eastAsia" w:ascii="仿宋_GB2312" w:hAnsi="仿宋_GB2312" w:eastAsia="仿宋_GB2312" w:cs="仿宋_GB2312"/>
          <w:sz w:val="32"/>
          <w:szCs w:val="32"/>
        </w:rPr>
        <w:t>，是否与</w:t>
      </w:r>
      <w:r>
        <w:rPr>
          <w:rFonts w:hint="eastAsia" w:ascii="仿宋_GB2312" w:hAnsi="仿宋_GB2312" w:eastAsia="仿宋_GB2312" w:cs="仿宋_GB2312"/>
          <w:sz w:val="32"/>
          <w:szCs w:val="32"/>
          <w:lang w:val="en-US" w:eastAsia="zh-CN"/>
        </w:rPr>
        <w:t>相关地下管线权属单位签订施工作业</w:t>
      </w:r>
      <w:r>
        <w:rPr>
          <w:rFonts w:hint="eastAsia" w:ascii="仿宋_GB2312" w:hAnsi="仿宋_GB2312" w:eastAsia="仿宋_GB2312" w:cs="仿宋_GB2312"/>
          <w:sz w:val="32"/>
          <w:szCs w:val="32"/>
        </w:rPr>
        <w:t>保护地下管线三方协议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是否制定有保护地下管线专项措施并严格</w:t>
      </w:r>
      <w:r>
        <w:rPr>
          <w:rFonts w:hint="eastAsia" w:ascii="仿宋_GB2312" w:hAnsi="仿宋_GB2312" w:eastAsia="仿宋_GB2312" w:cs="仿宋_GB2312"/>
          <w:sz w:val="32"/>
          <w:szCs w:val="32"/>
          <w:lang w:val="en-US" w:eastAsia="zh-CN"/>
        </w:rPr>
        <w:t>按照措施施工。</w:t>
      </w:r>
    </w:p>
    <w:p w14:paraId="1BAEA7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限额以下工程施工过程中仅开展一次安全检查，特殊情况可增加检查频次。安全检查过程中，凡发现擅自进行施工活动或者存在违法违规行为的，及时制止并督促整改;违法违规情节严重的应依法进行行政处罚或上报区相关部门依法查处。</w:t>
      </w:r>
    </w:p>
    <w:p w14:paraId="6CDA9552">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巡查（检查）人员应当按照有关规定，对以下巡查（检查）发现的问题及时进行处理：</w:t>
      </w:r>
    </w:p>
    <w:p w14:paraId="189F6AD8">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（一）发现未办理信息登记、擅自进行限额以下小型工程建设活动的，应当督促指导建设单位按照规定办理信息登记。</w:t>
      </w:r>
    </w:p>
    <w:p w14:paraId="36D2A448">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（二）发现限额以下小型工程未按照相关安全技术标准施工，未采取必要安全防护措施的，应当立即制止，督促整改。拒不整改的，及时报告乡（街道）、有关部门依法处理。</w:t>
      </w:r>
    </w:p>
    <w:p w14:paraId="2086A3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（三）发现存在违法建设活动，或者应当办理施工许可而未办理施工许可手续、擅自开工建设等行为，应当立即制止，及时报告乡（街道）、有关部门依法处理。</w:t>
      </w:r>
    </w:p>
    <w:p w14:paraId="78EC567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工程结束后3个工作日内，建设单位或个人应及时告知登记部门办理销账手续。</w:t>
      </w:r>
    </w:p>
    <w:p w14:paraId="25FD885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val="en-US" w:eastAsia="zh-CN"/>
        </w:rPr>
        <w:t>区级</w:t>
      </w:r>
      <w:r>
        <w:rPr>
          <w:rFonts w:hint="eastAsia" w:ascii="仿宋_GB2312" w:hAnsi="仿宋_GB2312" w:eastAsia="仿宋_GB2312" w:cs="仿宋_GB2312"/>
          <w:sz w:val="32"/>
          <w:szCs w:val="32"/>
        </w:rPr>
        <w:t>联席会议办公室建立限额以下工程安全生产月度评价、季度联合</w:t>
      </w:r>
      <w:r>
        <w:rPr>
          <w:rFonts w:hint="eastAsia" w:ascii="仿宋_GB2312" w:hAnsi="仿宋_GB2312" w:eastAsia="仿宋_GB2312" w:cs="仿宋_GB2312"/>
          <w:sz w:val="32"/>
          <w:szCs w:val="32"/>
          <w:lang w:val="en-US" w:eastAsia="zh-CN"/>
        </w:rPr>
        <w:t>检查</w:t>
      </w:r>
      <w:r>
        <w:rPr>
          <w:rFonts w:hint="eastAsia" w:ascii="仿宋_GB2312" w:hAnsi="仿宋_GB2312" w:eastAsia="仿宋_GB2312" w:cs="仿宋_GB2312"/>
          <w:sz w:val="32"/>
          <w:szCs w:val="32"/>
        </w:rPr>
        <w:t>，年度考核机制，督促各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人民政府，街道办事处、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rPr>
        <w:t>、各行业主管</w:t>
      </w:r>
      <w:r>
        <w:rPr>
          <w:rFonts w:hint="eastAsia" w:ascii="仿宋_GB2312" w:hAnsi="仿宋_GB2312" w:eastAsia="仿宋_GB2312" w:cs="仿宋_GB2312"/>
          <w:sz w:val="32"/>
          <w:szCs w:val="32"/>
          <w:lang w:val="en-US" w:eastAsia="zh-CN"/>
        </w:rPr>
        <w:t>部</w:t>
      </w:r>
      <w:r>
        <w:rPr>
          <w:rFonts w:hint="eastAsia" w:ascii="仿宋_GB2312" w:hAnsi="仿宋_GB2312" w:eastAsia="仿宋_GB2312" w:cs="仿宋_GB2312"/>
          <w:sz w:val="32"/>
          <w:szCs w:val="32"/>
        </w:rPr>
        <w:t>门履行限额以下工程安全生产管理职责。</w:t>
      </w:r>
    </w:p>
    <w:p w14:paraId="7F43EFB6">
      <w:pPr>
        <w:pStyle w:val="2"/>
        <w:jc w:val="center"/>
        <w:rPr>
          <w:rFonts w:hint="eastAsia" w:ascii="黑体" w:hAnsi="黑体" w:eastAsia="黑体" w:cs="黑体"/>
          <w:b w:val="0"/>
          <w:bCs w:val="0"/>
          <w:sz w:val="32"/>
          <w:szCs w:val="32"/>
          <w:lang w:val="en-US" w:eastAsia="zh-CN"/>
        </w:rPr>
      </w:pPr>
    </w:p>
    <w:p w14:paraId="1B52753B">
      <w:pPr>
        <w:pStyle w:val="2"/>
        <w:jc w:val="center"/>
        <w:rPr>
          <w:rFonts w:hint="eastAsia" w:ascii="黑体" w:hAnsi="黑体" w:eastAsia="黑体" w:cs="黑体"/>
          <w:b w:val="0"/>
          <w:bCs w:val="0"/>
          <w:lang w:val="en-US" w:eastAsia="zh-CN"/>
        </w:rPr>
      </w:pPr>
      <w:r>
        <w:rPr>
          <w:rFonts w:hint="eastAsia" w:ascii="黑体" w:hAnsi="黑体" w:eastAsia="黑体" w:cs="黑体"/>
          <w:b w:val="0"/>
          <w:bCs w:val="0"/>
          <w:sz w:val="32"/>
          <w:szCs w:val="32"/>
          <w:lang w:val="en-US" w:eastAsia="zh-CN"/>
        </w:rPr>
        <w:t>第五章  法律责任</w:t>
      </w:r>
    </w:p>
    <w:p w14:paraId="2EBE5A1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限额</w:t>
      </w:r>
      <w:r>
        <w:rPr>
          <w:rFonts w:hint="eastAsia" w:ascii="仿宋_GB2312" w:hAnsi="仿宋_GB2312" w:eastAsia="仿宋_GB2312" w:cs="仿宋_GB2312"/>
          <w:sz w:val="32"/>
          <w:szCs w:val="32"/>
        </w:rPr>
        <w:t>以下工程建设单位或个人，以及承接此类工程的施工单位，存在重大安全隐患和</w:t>
      </w:r>
      <w:r>
        <w:rPr>
          <w:rFonts w:hint="eastAsia" w:ascii="仿宋_GB2312" w:hAnsi="仿宋_GB2312" w:eastAsia="仿宋_GB2312" w:cs="仿宋_GB2312"/>
          <w:sz w:val="32"/>
          <w:szCs w:val="32"/>
          <w:lang w:val="en-US" w:eastAsia="zh-CN"/>
        </w:rPr>
        <w:t>违法</w:t>
      </w:r>
      <w:r>
        <w:rPr>
          <w:rFonts w:hint="eastAsia" w:ascii="仿宋_GB2312" w:hAnsi="仿宋_GB2312" w:eastAsia="仿宋_GB2312" w:cs="仿宋_GB2312"/>
          <w:sz w:val="32"/>
          <w:szCs w:val="32"/>
        </w:rPr>
        <w:t>违规行为的，由各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人民政府，街道办事处，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rPr>
        <w:t>执法部门依据有关法律、法规，规定予以行政处罚;超出各</w:t>
      </w:r>
      <w:r>
        <w:rPr>
          <w:rFonts w:hint="eastAsia" w:ascii="仿宋_GB2312" w:hAnsi="仿宋_GB2312" w:eastAsia="仿宋_GB2312" w:cs="仿宋_GB2312"/>
          <w:sz w:val="32"/>
          <w:szCs w:val="32"/>
          <w:lang w:val="en-US" w:eastAsia="zh-CN"/>
        </w:rPr>
        <w:t>乡</w:t>
      </w:r>
      <w:r>
        <w:rPr>
          <w:rFonts w:hint="eastAsia" w:ascii="仿宋_GB2312" w:hAnsi="仿宋_GB2312" w:eastAsia="仿宋_GB2312" w:cs="仿宋_GB2312"/>
          <w:sz w:val="32"/>
          <w:szCs w:val="32"/>
        </w:rPr>
        <w:t>人民政府，街道办事处，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rPr>
        <w:t>执法部门行政处罚权限的，由各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人民政府、街道办事处，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rPr>
        <w:t>移送区级相关执法部门予以行政处罚;涉嫌犯</w:t>
      </w:r>
      <w:r>
        <w:rPr>
          <w:rFonts w:hint="eastAsia" w:ascii="仿宋_GB2312" w:hAnsi="仿宋_GB2312" w:eastAsia="仿宋_GB2312" w:cs="仿宋_GB2312"/>
          <w:sz w:val="32"/>
          <w:szCs w:val="32"/>
          <w:lang w:val="en-US" w:eastAsia="zh-CN"/>
        </w:rPr>
        <w:t>罪</w:t>
      </w:r>
      <w:r>
        <w:rPr>
          <w:rFonts w:hint="eastAsia" w:ascii="仿宋_GB2312" w:hAnsi="仿宋_GB2312" w:eastAsia="仿宋_GB2312" w:cs="仿宋_GB2312"/>
          <w:sz w:val="32"/>
          <w:szCs w:val="32"/>
        </w:rPr>
        <w:t>的。由各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val="en-US" w:eastAsia="zh-CN"/>
        </w:rPr>
        <w:t>街道</w:t>
      </w:r>
      <w:r>
        <w:rPr>
          <w:rFonts w:hint="eastAsia" w:ascii="仿宋_GB2312" w:hAnsi="仿宋_GB2312" w:eastAsia="仿宋_GB2312" w:cs="仿宋_GB2312"/>
          <w:sz w:val="32"/>
          <w:szCs w:val="32"/>
        </w:rPr>
        <w:t>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rPr>
        <w:t>移送司法机关依法追究刑事责任。</w:t>
      </w:r>
    </w:p>
    <w:p w14:paraId="66FE0DE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确保</w:t>
      </w:r>
      <w:r>
        <w:rPr>
          <w:rFonts w:hint="eastAsia" w:ascii="仿宋_GB2312" w:hAnsi="仿宋_GB2312" w:eastAsia="仿宋_GB2312" w:cs="仿宋_GB2312"/>
          <w:sz w:val="32"/>
          <w:szCs w:val="32"/>
          <w:lang w:val="en-US" w:eastAsia="zh-CN"/>
        </w:rPr>
        <w:t>限额</w:t>
      </w:r>
      <w:r>
        <w:rPr>
          <w:rFonts w:hint="eastAsia" w:ascii="仿宋_GB2312" w:hAnsi="仿宋_GB2312" w:eastAsia="仿宋_GB2312" w:cs="仿宋_GB2312"/>
          <w:sz w:val="32"/>
          <w:szCs w:val="32"/>
        </w:rPr>
        <w:t>以下工程安全生产责任落实到位，对工作不力的单位进行通报，对造成生产安全责任事故，社会影响恶劣、情节严重的，依据相关法律、法规实施责任追究。</w:t>
      </w:r>
      <w:r>
        <w:rPr>
          <w:rFonts w:hint="eastAsia" w:ascii="仿宋_GB2312" w:hAnsi="仿宋_GB2312" w:eastAsia="仿宋_GB2312" w:cs="仿宋_GB2312"/>
          <w:sz w:val="32"/>
          <w:szCs w:val="32"/>
          <w:lang w:val="en-US" w:eastAsia="zh-CN"/>
        </w:rPr>
        <w:t xml:space="preserve">    </w:t>
      </w:r>
    </w:p>
    <w:p w14:paraId="2F2F3F6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二十</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val="en-US" w:eastAsia="zh-CN"/>
        </w:rPr>
        <w:t>限额</w:t>
      </w:r>
      <w:r>
        <w:rPr>
          <w:rFonts w:hint="eastAsia" w:ascii="仿宋_GB2312" w:hAnsi="仿宋_GB2312" w:eastAsia="仿宋_GB2312" w:cs="仿宋_GB2312"/>
          <w:sz w:val="32"/>
          <w:szCs w:val="32"/>
        </w:rPr>
        <w:t>以下工程安全事故指标评价工作，由区级</w:t>
      </w:r>
      <w:r>
        <w:rPr>
          <w:rFonts w:hint="eastAsia" w:ascii="仿宋_GB2312" w:hAnsi="仿宋_GB2312" w:eastAsia="仿宋_GB2312" w:cs="仿宋_GB2312"/>
          <w:sz w:val="32"/>
          <w:szCs w:val="32"/>
          <w:lang w:val="en-US" w:eastAsia="zh-CN"/>
        </w:rPr>
        <w:t>限额</w:t>
      </w:r>
      <w:r>
        <w:rPr>
          <w:rFonts w:hint="eastAsia" w:ascii="仿宋_GB2312" w:hAnsi="仿宋_GB2312" w:eastAsia="仿宋_GB2312" w:cs="仿宋_GB2312"/>
          <w:sz w:val="32"/>
          <w:szCs w:val="32"/>
        </w:rPr>
        <w:t>以下工程安全生产管理联席会议办公室牵头，将</w:t>
      </w:r>
      <w:r>
        <w:rPr>
          <w:rFonts w:hint="eastAsia" w:ascii="仿宋_GB2312" w:hAnsi="仿宋_GB2312" w:eastAsia="仿宋_GB2312" w:cs="仿宋_GB2312"/>
          <w:sz w:val="32"/>
          <w:szCs w:val="32"/>
          <w:lang w:val="en-US" w:eastAsia="zh-CN"/>
        </w:rPr>
        <w:t>市级</w:t>
      </w:r>
      <w:r>
        <w:rPr>
          <w:rFonts w:hint="eastAsia" w:ascii="仿宋_GB2312" w:hAnsi="仿宋_GB2312" w:eastAsia="仿宋_GB2312" w:cs="仿宋_GB2312"/>
          <w:sz w:val="32"/>
          <w:szCs w:val="32"/>
        </w:rPr>
        <w:t>下达的事故指标分解至归口行业主管部门及各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街道</w:t>
      </w:r>
      <w:r>
        <w:rPr>
          <w:rFonts w:hint="eastAsia" w:ascii="仿宋_GB2312" w:hAnsi="仿宋_GB2312" w:eastAsia="仿宋_GB2312" w:cs="仿宋_GB2312"/>
          <w:sz w:val="32"/>
          <w:szCs w:val="32"/>
        </w:rPr>
        <w:t>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rPr>
        <w:t>进行考核评价。</w:t>
      </w:r>
    </w:p>
    <w:p w14:paraId="39331A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二十一</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街道办事处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检</w:t>
      </w:r>
      <w:r>
        <w:rPr>
          <w:rFonts w:hint="eastAsia" w:ascii="仿宋_GB2312" w:hAnsi="仿宋_GB2312" w:eastAsia="仿宋_GB2312" w:cs="仿宋_GB2312"/>
          <w:sz w:val="32"/>
          <w:szCs w:val="32"/>
        </w:rPr>
        <w:t>查中发现</w:t>
      </w:r>
      <w:r>
        <w:rPr>
          <w:rFonts w:hint="eastAsia" w:ascii="仿宋_GB2312" w:hAnsi="仿宋_GB2312" w:eastAsia="仿宋_GB2312" w:cs="仿宋_GB2312"/>
          <w:sz w:val="32"/>
          <w:szCs w:val="32"/>
          <w:lang w:val="en-US" w:eastAsia="zh-CN"/>
        </w:rPr>
        <w:t>违</w:t>
      </w:r>
      <w:r>
        <w:rPr>
          <w:rFonts w:hint="eastAsia" w:ascii="仿宋_GB2312" w:hAnsi="仿宋_GB2312" w:eastAsia="仿宋_GB2312" w:cs="仿宋_GB2312"/>
          <w:sz w:val="32"/>
          <w:szCs w:val="32"/>
        </w:rPr>
        <w:t>法建设行为，由区规划部门和区城管</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及各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人民政府、街道办事处</w:t>
      </w:r>
      <w:r>
        <w:rPr>
          <w:rFonts w:hint="eastAsia" w:ascii="仿宋_GB2312" w:hAnsi="仿宋_GB2312" w:eastAsia="仿宋_GB2312" w:cs="仿宋_GB2312"/>
          <w:sz w:val="32"/>
          <w:szCs w:val="32"/>
          <w:lang w:eastAsia="zh-CN"/>
        </w:rPr>
        <w:t>、工业园区</w:t>
      </w:r>
      <w:r>
        <w:rPr>
          <w:rFonts w:hint="eastAsia" w:ascii="仿宋_GB2312" w:hAnsi="仿宋_GB2312" w:eastAsia="仿宋_GB2312" w:cs="仿宋_GB2312"/>
          <w:sz w:val="32"/>
          <w:szCs w:val="32"/>
        </w:rPr>
        <w:t>依法查处。</w:t>
      </w:r>
    </w:p>
    <w:p w14:paraId="55A33818">
      <w:pPr>
        <w:pStyle w:val="2"/>
        <w:rPr>
          <w:rFonts w:hint="eastAsia"/>
        </w:rPr>
      </w:pPr>
    </w:p>
    <w:p w14:paraId="707DA6CA">
      <w:pPr>
        <w:pStyle w:val="2"/>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第六章  附则</w:t>
      </w:r>
    </w:p>
    <w:p w14:paraId="3E0663C3">
      <w:pPr>
        <w:keepNext w:val="0"/>
        <w:keepLines w:val="0"/>
        <w:widowControl/>
        <w:suppressLineNumbers w:val="0"/>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第二十二条 </w:t>
      </w:r>
      <w:r>
        <w:rPr>
          <w:rFonts w:hint="eastAsia" w:ascii="仿宋_GB2312" w:hAnsi="仿宋_GB2312" w:eastAsia="仿宋_GB2312" w:cs="仿宋_GB2312"/>
          <w:sz w:val="32"/>
          <w:szCs w:val="32"/>
          <w:lang w:val="en-US" w:eastAsia="zh-CN"/>
        </w:rPr>
        <w:t>人员密集场所涉及动火作业的限额以下小型工程实行闭环管理，建设单位或个人按照要求落实开工前信息登记、施工中巡查检查、完工告知等程序。信息告知仅作为安全管理的依据，不作为确认相关工程建设活动合法性及工程质量合格的依据。</w:t>
      </w:r>
    </w:p>
    <w:p w14:paraId="4DEF3E1B">
      <w:pPr>
        <w:keepNext w:val="0"/>
        <w:keepLines w:val="0"/>
        <w:widowControl/>
        <w:suppressLineNumbers w:val="0"/>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第二十三条 </w:t>
      </w:r>
      <w:r>
        <w:rPr>
          <w:rFonts w:hint="eastAsia" w:ascii="仿宋_GB2312" w:hAnsi="仿宋_GB2312" w:eastAsia="仿宋_GB2312" w:cs="仿宋_GB2312"/>
          <w:sz w:val="32"/>
          <w:szCs w:val="32"/>
          <w:lang w:val="en-US" w:eastAsia="zh-CN"/>
        </w:rPr>
        <w:t>人员密集场所涉及动火作业的限额以下小型工程施工前，建设单位或个人必须在施工现场显著位置放置施工公示牌，公示建设单位、施工单位、安全员、投诉举报电话、动火作业管理要求等信息，自觉接受社会监督。</w:t>
      </w:r>
    </w:p>
    <w:p w14:paraId="7DDADD5E">
      <w:pPr>
        <w:keepNext w:val="0"/>
        <w:keepLines w:val="0"/>
        <w:widowControl/>
        <w:suppressLineNumbers w:val="0"/>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第二十四条 </w:t>
      </w:r>
      <w:r>
        <w:rPr>
          <w:rFonts w:hint="eastAsia" w:ascii="仿宋_GB2312" w:hAnsi="仿宋_GB2312" w:eastAsia="仿宋_GB2312" w:cs="仿宋_GB2312"/>
          <w:sz w:val="32"/>
          <w:szCs w:val="32"/>
          <w:lang w:val="en-US" w:eastAsia="zh-CN"/>
        </w:rPr>
        <w:t>限额以下小型工程发生生产安全事故的，各地、各有关部门应当按照国家有关规定组织开展调查处理，依法依规严肃追究相关责任单位和人员的责任。</w:t>
      </w:r>
    </w:p>
    <w:p w14:paraId="6AF22EFD">
      <w:pPr>
        <w:keepNext w:val="0"/>
        <w:keepLines w:val="0"/>
        <w:widowControl/>
        <w:suppressLineNumbers w:val="0"/>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第二十五条 </w:t>
      </w:r>
      <w:r>
        <w:rPr>
          <w:rFonts w:hint="eastAsia" w:ascii="仿宋_GB2312" w:hAnsi="仿宋_GB2312" w:eastAsia="仿宋_GB2312" w:cs="仿宋_GB2312"/>
          <w:sz w:val="32"/>
          <w:szCs w:val="32"/>
          <w:lang w:val="en-US" w:eastAsia="zh-CN"/>
        </w:rPr>
        <w:t>乡村建设工程施工安全管理按照《河南省村庄规划编制和实施规定》(省人民政府令第212号)《河南省农村宅基地和村民自建住房管理办法》(豫政[2025]12号)执行。</w:t>
      </w:r>
    </w:p>
    <w:p w14:paraId="38A28A96">
      <w:pPr>
        <w:keepNext w:val="0"/>
        <w:keepLines w:val="0"/>
        <w:widowControl/>
        <w:suppressLineNumbers w:val="0"/>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第二十六条</w:t>
      </w:r>
      <w:r>
        <w:rPr>
          <w:rFonts w:hint="eastAsia" w:ascii="仿宋_GB2312" w:hAnsi="仿宋_GB2312" w:eastAsia="仿宋_GB2312" w:cs="仿宋_GB2312"/>
          <w:sz w:val="32"/>
          <w:szCs w:val="32"/>
          <w:lang w:val="en-US" w:eastAsia="zh-CN"/>
        </w:rPr>
        <w:t xml:space="preserve"> 人员密集场所范围及职责分工依据《国务院安全生产委员会关于印发《关于加强人员密集场所动火作业安全管理的若干措施&gt;的通知》(安委〔2024]12号)《河南省安全生产委员会办公室关于加强人员密集场所动火作业安全管理的通知》等文件规定。</w:t>
      </w:r>
    </w:p>
    <w:p w14:paraId="41DB3A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二十七</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本细则自</w:t>
      </w:r>
      <w:r>
        <w:rPr>
          <w:rFonts w:hint="eastAsia" w:ascii="仿宋_GB2312" w:hAnsi="仿宋_GB2312" w:eastAsia="仿宋_GB2312" w:cs="仿宋_GB2312"/>
          <w:sz w:val="32"/>
          <w:szCs w:val="32"/>
          <w:lang w:val="en-US" w:eastAsia="zh-CN"/>
        </w:rPr>
        <w:t>发布之日</w:t>
      </w:r>
      <w:r>
        <w:rPr>
          <w:rFonts w:hint="eastAsia" w:ascii="仿宋_GB2312" w:hAnsi="仿宋_GB2312" w:eastAsia="仿宋_GB2312" w:cs="仿宋_GB2312"/>
          <w:sz w:val="32"/>
          <w:szCs w:val="32"/>
        </w:rPr>
        <w:t>起施行。</w:t>
      </w:r>
    </w:p>
    <w:p w14:paraId="657FE7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1D00B160">
      <w:pPr>
        <w:pStyle w:val="2"/>
        <w:ind w:left="0" w:leftChars="0"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b w:val="0"/>
          <w:bCs w:val="0"/>
          <w:kern w:val="2"/>
          <w:sz w:val="32"/>
          <w:szCs w:val="32"/>
          <w:lang w:val="en-US" w:eastAsia="zh-CN" w:bidi="ar-SA"/>
        </w:rPr>
        <w:t>1：湖滨区限额以下工程开工建设管理指(范本)</w:t>
      </w:r>
    </w:p>
    <w:p w14:paraId="4272C16D">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湖滨区</w:t>
      </w:r>
      <w:r>
        <w:rPr>
          <w:rFonts w:hint="eastAsia" w:ascii="仿宋_GB2312" w:hAnsi="仿宋_GB2312" w:eastAsia="仿宋_GB2312" w:cs="仿宋_GB2312"/>
          <w:sz w:val="32"/>
          <w:szCs w:val="32"/>
        </w:rPr>
        <w:t>限额以下工程开工建设信息登记表(范本)</w:t>
      </w:r>
    </w:p>
    <w:p w14:paraId="73F20388">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限</w:t>
      </w:r>
      <w:r>
        <w:rPr>
          <w:rFonts w:hint="eastAsia" w:ascii="仿宋_GB2312" w:hAnsi="仿宋_GB2312" w:eastAsia="仿宋_GB2312" w:cs="仿宋_GB2312"/>
          <w:sz w:val="32"/>
          <w:szCs w:val="32"/>
        </w:rPr>
        <w:t>额以下工程施工安全检查记录表(参考用表)</w:t>
      </w:r>
    </w:p>
    <w:p w14:paraId="7B0AC1BE">
      <w:pPr>
        <w:pStyle w:val="2"/>
        <w:ind w:left="0" w:leftChars="0" w:firstLine="0" w:firstLineChars="0"/>
        <w:rPr>
          <w:rFonts w:hint="eastAsia"/>
          <w:lang w:val="en-US" w:eastAsia="zh-CN"/>
        </w:rPr>
      </w:pPr>
    </w:p>
    <w:p w14:paraId="7FBAC2B0">
      <w:pPr>
        <w:rPr>
          <w:rFonts w:hint="eastAsia"/>
          <w:lang w:val="en-US" w:eastAsia="zh-CN"/>
        </w:rPr>
      </w:pPr>
    </w:p>
    <w:p w14:paraId="4E360C53">
      <w:pPr>
        <w:pStyle w:val="2"/>
        <w:rPr>
          <w:rFonts w:hint="eastAsia"/>
          <w:lang w:val="en-US" w:eastAsia="zh-CN"/>
        </w:rPr>
      </w:pPr>
    </w:p>
    <w:p w14:paraId="2535AF92">
      <w:pPr>
        <w:rPr>
          <w:rFonts w:hint="eastAsia"/>
          <w:lang w:val="en-US" w:eastAsia="zh-CN"/>
        </w:rPr>
      </w:pPr>
    </w:p>
    <w:p w14:paraId="6E6EB5AB">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湖滨区安全生产委员会      </w:t>
      </w:r>
    </w:p>
    <w:p w14:paraId="2BD1C215">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p w14:paraId="01AFAC8F">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color w:val="000000"/>
          <w:sz w:val="32"/>
          <w:szCs w:val="32"/>
        </w:rPr>
      </w:pPr>
      <w:bookmarkStart w:id="1" w:name="_GoBack"/>
      <w:bookmarkEnd w:id="1"/>
    </w:p>
    <w:p w14:paraId="480916B6">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color w:val="000000"/>
          <w:sz w:val="32"/>
          <w:szCs w:val="32"/>
        </w:rPr>
      </w:pPr>
    </w:p>
    <w:p w14:paraId="7689CC7C">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color w:val="000000"/>
          <w:sz w:val="32"/>
          <w:szCs w:val="32"/>
        </w:rPr>
      </w:pPr>
    </w:p>
    <w:p w14:paraId="261C7197">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color w:val="000000"/>
          <w:sz w:val="32"/>
          <w:szCs w:val="32"/>
        </w:rPr>
      </w:pPr>
    </w:p>
    <w:p w14:paraId="00423591">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color w:val="000000"/>
          <w:sz w:val="32"/>
          <w:szCs w:val="32"/>
        </w:rPr>
      </w:pPr>
    </w:p>
    <w:p w14:paraId="3CC80550">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color w:val="000000"/>
          <w:sz w:val="32"/>
          <w:szCs w:val="32"/>
        </w:rPr>
      </w:pPr>
    </w:p>
    <w:p w14:paraId="7B0ED466">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color w:val="000000"/>
          <w:sz w:val="32"/>
          <w:szCs w:val="32"/>
        </w:rPr>
      </w:pPr>
    </w:p>
    <w:p w14:paraId="6CC8766E">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附件1</w:t>
      </w:r>
    </w:p>
    <w:p w14:paraId="2C1AC40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000000"/>
          <w:sz w:val="44"/>
          <w:szCs w:val="44"/>
          <w:lang w:val="en-US" w:eastAsia="zh-CN"/>
        </w:rPr>
      </w:pPr>
    </w:p>
    <w:p w14:paraId="553F779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val="en-US" w:eastAsia="zh-CN"/>
        </w:rPr>
        <w:t>湖滨区</w:t>
      </w:r>
      <w:r>
        <w:rPr>
          <w:rFonts w:hint="eastAsia" w:ascii="方正小标宋简体" w:hAnsi="方正小标宋简体" w:eastAsia="方正小标宋简体" w:cs="方正小标宋简体"/>
          <w:color w:val="000000"/>
          <w:sz w:val="44"/>
          <w:szCs w:val="44"/>
        </w:rPr>
        <w:t>限额以下工程开工建设管理指引（范本）</w:t>
      </w:r>
    </w:p>
    <w:p w14:paraId="3F80FEA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color w:val="000000"/>
          <w:sz w:val="28"/>
          <w:szCs w:val="28"/>
        </w:rPr>
      </w:pPr>
    </w:p>
    <w:p w14:paraId="0DE854B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一、申请办理限额以下工程开工建设信息录入管理手续时，建设单位或个人应向</w:t>
      </w:r>
      <w:r>
        <w:rPr>
          <w:rFonts w:hint="eastAsia" w:ascii="黑体" w:hAnsi="黑体" w:eastAsia="黑体" w:cs="黑体"/>
          <w:b w:val="0"/>
          <w:bCs w:val="0"/>
          <w:color w:val="000000"/>
          <w:sz w:val="32"/>
          <w:szCs w:val="32"/>
          <w:lang w:eastAsia="zh-CN"/>
        </w:rPr>
        <w:t>各</w:t>
      </w:r>
      <w:r>
        <w:rPr>
          <w:rFonts w:hint="eastAsia" w:ascii="黑体" w:hAnsi="黑体" w:eastAsia="黑体" w:cs="黑体"/>
          <w:b w:val="0"/>
          <w:bCs w:val="0"/>
          <w:color w:val="000000"/>
          <w:sz w:val="32"/>
          <w:szCs w:val="32"/>
          <w:lang w:val="en-US" w:eastAsia="zh-CN"/>
        </w:rPr>
        <w:t>乡</w:t>
      </w:r>
      <w:r>
        <w:rPr>
          <w:rFonts w:hint="eastAsia" w:ascii="黑体" w:hAnsi="黑体" w:eastAsia="黑体" w:cs="黑体"/>
          <w:b w:val="0"/>
          <w:bCs w:val="0"/>
          <w:color w:val="000000"/>
          <w:sz w:val="32"/>
          <w:szCs w:val="32"/>
          <w:lang w:eastAsia="zh-CN"/>
        </w:rPr>
        <w:t>人民政府、街道办事处、</w:t>
      </w:r>
      <w:r>
        <w:rPr>
          <w:rFonts w:hint="eastAsia" w:ascii="黑体" w:hAnsi="黑体" w:eastAsia="黑体" w:cs="黑体"/>
          <w:b w:val="0"/>
          <w:bCs w:val="0"/>
          <w:color w:val="000000"/>
          <w:sz w:val="32"/>
          <w:szCs w:val="32"/>
          <w:lang w:val="en-US" w:eastAsia="zh-CN"/>
        </w:rPr>
        <w:t>工业园区</w:t>
      </w:r>
      <w:r>
        <w:rPr>
          <w:rFonts w:hint="eastAsia" w:ascii="黑体" w:hAnsi="黑体" w:eastAsia="黑体" w:cs="黑体"/>
          <w:b w:val="0"/>
          <w:bCs w:val="0"/>
          <w:color w:val="000000"/>
          <w:sz w:val="32"/>
          <w:szCs w:val="32"/>
        </w:rPr>
        <w:t>提供资料参考（非必要提交项）：</w:t>
      </w:r>
    </w:p>
    <w:p w14:paraId="3E9F221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1.建设工程用地批准文件、产权租赁协议等；</w:t>
      </w:r>
    </w:p>
    <w:p w14:paraId="25223EC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2.建设工程规划许可手续；</w:t>
      </w:r>
    </w:p>
    <w:p w14:paraId="19A27AD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3.满足施工技术要求的施工图纸或选用的设计通用图和标准图集；</w:t>
      </w:r>
    </w:p>
    <w:p w14:paraId="5AECD2E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4.施工单位资质文件及工程承发包合同关键页；</w:t>
      </w:r>
    </w:p>
    <w:p w14:paraId="5D91708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5.提供挖掘工程地下管线调查情况。</w:t>
      </w:r>
    </w:p>
    <w:p w14:paraId="22FAE21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注：以上资料如有需提供，均为非必要提供项。</w:t>
      </w:r>
    </w:p>
    <w:p w14:paraId="71E3138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二、</w:t>
      </w:r>
      <w:r>
        <w:rPr>
          <w:rFonts w:hint="eastAsia" w:ascii="黑体" w:hAnsi="黑体" w:eastAsia="黑体" w:cs="黑体"/>
          <w:b w:val="0"/>
          <w:bCs w:val="0"/>
          <w:color w:val="000000"/>
          <w:sz w:val="32"/>
          <w:szCs w:val="32"/>
          <w:lang w:eastAsia="zh-CN"/>
        </w:rPr>
        <w:t>各</w:t>
      </w:r>
      <w:r>
        <w:rPr>
          <w:rFonts w:hint="eastAsia" w:ascii="黑体" w:hAnsi="黑体" w:eastAsia="黑体" w:cs="黑体"/>
          <w:b w:val="0"/>
          <w:bCs w:val="0"/>
          <w:color w:val="000000"/>
          <w:sz w:val="32"/>
          <w:szCs w:val="32"/>
          <w:lang w:val="en-US" w:eastAsia="zh-CN"/>
        </w:rPr>
        <w:t>乡</w:t>
      </w:r>
      <w:r>
        <w:rPr>
          <w:rFonts w:hint="eastAsia" w:ascii="黑体" w:hAnsi="黑体" w:eastAsia="黑体" w:cs="黑体"/>
          <w:b w:val="0"/>
          <w:bCs w:val="0"/>
          <w:color w:val="000000"/>
          <w:sz w:val="32"/>
          <w:szCs w:val="32"/>
          <w:lang w:eastAsia="zh-CN"/>
        </w:rPr>
        <w:t>人民政府、街道办事处、</w:t>
      </w:r>
      <w:r>
        <w:rPr>
          <w:rFonts w:hint="eastAsia" w:ascii="黑体" w:hAnsi="黑体" w:eastAsia="黑体" w:cs="黑体"/>
          <w:b w:val="0"/>
          <w:bCs w:val="0"/>
          <w:color w:val="000000"/>
          <w:sz w:val="32"/>
          <w:szCs w:val="32"/>
          <w:lang w:val="en-US" w:eastAsia="zh-CN"/>
        </w:rPr>
        <w:t>工业园区</w:t>
      </w:r>
      <w:r>
        <w:rPr>
          <w:rFonts w:hint="eastAsia" w:ascii="黑体" w:hAnsi="黑体" w:eastAsia="黑体" w:cs="黑体"/>
          <w:b w:val="0"/>
          <w:bCs w:val="0"/>
          <w:color w:val="000000"/>
          <w:sz w:val="32"/>
          <w:szCs w:val="32"/>
        </w:rPr>
        <w:t>应当按照下列程序办理：</w:t>
      </w:r>
    </w:p>
    <w:p w14:paraId="0E3258C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各</w:t>
      </w:r>
      <w:r>
        <w:rPr>
          <w:rFonts w:hint="eastAsia" w:ascii="仿宋_GB2312" w:hAnsi="仿宋_GB2312" w:eastAsia="仿宋_GB2312" w:cs="仿宋_GB2312"/>
          <w:color w:val="000000"/>
          <w:sz w:val="32"/>
          <w:szCs w:val="32"/>
          <w:lang w:val="en-US" w:eastAsia="zh-CN"/>
        </w:rPr>
        <w:t>乡</w:t>
      </w:r>
      <w:r>
        <w:rPr>
          <w:rFonts w:hint="eastAsia" w:ascii="仿宋_GB2312" w:hAnsi="仿宋_GB2312" w:eastAsia="仿宋_GB2312" w:cs="仿宋_GB2312"/>
          <w:color w:val="000000"/>
          <w:sz w:val="32"/>
          <w:szCs w:val="32"/>
          <w:lang w:eastAsia="zh-CN"/>
        </w:rPr>
        <w:t>人民政府、街道办事处、</w:t>
      </w:r>
      <w:r>
        <w:rPr>
          <w:rFonts w:hint="eastAsia" w:ascii="仿宋_GB2312" w:hAnsi="仿宋_GB2312" w:eastAsia="仿宋_GB2312" w:cs="仿宋_GB2312"/>
          <w:color w:val="000000"/>
          <w:sz w:val="32"/>
          <w:szCs w:val="32"/>
          <w:lang w:val="en-US" w:eastAsia="zh-CN"/>
        </w:rPr>
        <w:t>工业园区</w:t>
      </w:r>
      <w:r>
        <w:rPr>
          <w:rFonts w:hint="eastAsia" w:ascii="仿宋_GB2312" w:hAnsi="仿宋_GB2312" w:eastAsia="仿宋_GB2312" w:cs="仿宋_GB2312"/>
          <w:color w:val="000000"/>
          <w:sz w:val="32"/>
          <w:szCs w:val="32"/>
        </w:rPr>
        <w:t>应认真审核建设单位或个人报送的资料，对于符合条件的工程，应当立即填写《</w:t>
      </w:r>
      <w:r>
        <w:rPr>
          <w:rFonts w:hint="eastAsia" w:ascii="仿宋_GB2312" w:hAnsi="仿宋_GB2312" w:eastAsia="仿宋_GB2312" w:cs="仿宋_GB2312"/>
          <w:color w:val="000000"/>
          <w:sz w:val="32"/>
          <w:szCs w:val="32"/>
          <w:lang w:val="en-US" w:eastAsia="zh-CN"/>
        </w:rPr>
        <w:t>湖滨区</w:t>
      </w:r>
      <w:r>
        <w:rPr>
          <w:rFonts w:hint="eastAsia" w:ascii="仿宋_GB2312" w:hAnsi="仿宋_GB2312" w:eastAsia="仿宋_GB2312" w:cs="仿宋_GB2312"/>
          <w:color w:val="000000"/>
          <w:sz w:val="32"/>
          <w:szCs w:val="32"/>
        </w:rPr>
        <w:t>限额以下工程开工建设信息登记表》</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对于不符合开工建设的，应当在审核后立即通知建设单位（个人），并说明理由。</w:t>
      </w:r>
    </w:p>
    <w:p w14:paraId="154EEF2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sz w:val="32"/>
          <w:szCs w:val="32"/>
        </w:rPr>
      </w:pPr>
      <w:r>
        <w:rPr>
          <w:rFonts w:hint="eastAsia" w:ascii="仿宋_GB2312" w:hAnsi="仿宋_GB2312" w:eastAsia="仿宋_GB2312" w:cs="仿宋_GB2312"/>
          <w:color w:val="000000"/>
          <w:sz w:val="32"/>
          <w:szCs w:val="32"/>
        </w:rPr>
        <w:t>2.收到建设单位或个人工程完工申请后，应立即在限额以下工程信息</w:t>
      </w:r>
      <w:r>
        <w:rPr>
          <w:rFonts w:hint="eastAsia" w:ascii="仿宋_GB2312" w:hAnsi="仿宋_GB2312" w:eastAsia="仿宋_GB2312" w:cs="仿宋_GB2312"/>
          <w:color w:val="000000"/>
          <w:sz w:val="32"/>
          <w:szCs w:val="32"/>
          <w:lang w:val="en-US" w:eastAsia="zh-CN"/>
        </w:rPr>
        <w:t>台账</w:t>
      </w:r>
      <w:r>
        <w:rPr>
          <w:rFonts w:hint="eastAsia" w:ascii="仿宋_GB2312" w:hAnsi="仿宋_GB2312" w:eastAsia="仿宋_GB2312" w:cs="仿宋_GB2312"/>
          <w:color w:val="000000"/>
          <w:sz w:val="32"/>
          <w:szCs w:val="32"/>
        </w:rPr>
        <w:t>办理销账，</w:t>
      </w:r>
      <w:r>
        <w:rPr>
          <w:rFonts w:hint="eastAsia" w:ascii="仿宋_GB2312" w:hAnsi="仿宋_GB2312" w:eastAsia="仿宋_GB2312" w:cs="仿宋_GB2312"/>
          <w:color w:val="000000"/>
          <w:sz w:val="32"/>
          <w:szCs w:val="32"/>
          <w:lang w:eastAsia="zh-CN"/>
        </w:rPr>
        <w:t>各</w:t>
      </w:r>
      <w:r>
        <w:rPr>
          <w:rFonts w:hint="eastAsia" w:ascii="仿宋_GB2312" w:hAnsi="仿宋_GB2312" w:eastAsia="仿宋_GB2312" w:cs="仿宋_GB2312"/>
          <w:color w:val="000000"/>
          <w:sz w:val="32"/>
          <w:szCs w:val="32"/>
          <w:lang w:val="en-US" w:eastAsia="zh-CN"/>
        </w:rPr>
        <w:t>乡</w:t>
      </w:r>
      <w:r>
        <w:rPr>
          <w:rFonts w:hint="eastAsia" w:ascii="仿宋_GB2312" w:hAnsi="仿宋_GB2312" w:eastAsia="仿宋_GB2312" w:cs="仿宋_GB2312"/>
          <w:color w:val="000000"/>
          <w:sz w:val="32"/>
          <w:szCs w:val="32"/>
          <w:lang w:eastAsia="zh-CN"/>
        </w:rPr>
        <w:t>人民政府、街道办事处、</w:t>
      </w:r>
      <w:r>
        <w:rPr>
          <w:rFonts w:hint="eastAsia" w:ascii="仿宋_GB2312" w:hAnsi="仿宋_GB2312" w:eastAsia="仿宋_GB2312" w:cs="仿宋_GB2312"/>
          <w:color w:val="000000"/>
          <w:sz w:val="32"/>
          <w:szCs w:val="32"/>
          <w:lang w:val="en-US" w:eastAsia="zh-CN"/>
        </w:rPr>
        <w:t>工业园区</w:t>
      </w:r>
      <w:r>
        <w:rPr>
          <w:rFonts w:hint="eastAsia" w:ascii="仿宋_GB2312" w:hAnsi="仿宋_GB2312" w:eastAsia="仿宋_GB2312" w:cs="仿宋_GB2312"/>
          <w:color w:val="000000"/>
          <w:sz w:val="32"/>
          <w:szCs w:val="32"/>
        </w:rPr>
        <w:t>发现工程已完工的，应立即联系建设单位或个人核实销账。</w:t>
      </w:r>
    </w:p>
    <w:p w14:paraId="405AB2B4">
      <w:pPr>
        <w:spacing w:line="640" w:lineRule="exact"/>
        <w:ind w:firstLine="320" w:firstLineChars="100"/>
        <w:jc w:val="left"/>
        <w:rPr>
          <w:rFonts w:hint="eastAsia" w:ascii="黑体" w:hAnsi="黑体" w:eastAsia="黑体" w:cs="黑体"/>
          <w:color w:val="000000"/>
          <w:sz w:val="32"/>
          <w:szCs w:val="32"/>
        </w:rPr>
      </w:pPr>
      <w:r>
        <w:rPr>
          <w:rFonts w:hint="eastAsia" w:ascii="黑体" w:hAnsi="黑体" w:eastAsia="黑体" w:cs="黑体"/>
          <w:color w:val="000000"/>
          <w:sz w:val="32"/>
          <w:szCs w:val="32"/>
        </w:rPr>
        <w:t>附件2</w:t>
      </w:r>
    </w:p>
    <w:p w14:paraId="39737023">
      <w:pPr>
        <w:spacing w:line="520" w:lineRule="exact"/>
        <w:jc w:val="center"/>
        <w:rPr>
          <w:rFonts w:hint="eastAsia" w:ascii="黑体" w:hAnsi="黑体" w:eastAsia="黑体" w:cs="黑体"/>
          <w:color w:val="000000"/>
          <w:sz w:val="44"/>
          <w:szCs w:val="44"/>
        </w:rPr>
      </w:pPr>
      <w:r>
        <w:rPr>
          <w:rFonts w:hint="eastAsia" w:ascii="黑体" w:hAnsi="黑体" w:eastAsia="黑体" w:cs="黑体"/>
          <w:color w:val="000000"/>
          <w:sz w:val="44"/>
          <w:szCs w:val="44"/>
          <w:lang w:val="en-US" w:eastAsia="zh-CN"/>
        </w:rPr>
        <w:t>湖滨区</w:t>
      </w:r>
      <w:r>
        <w:rPr>
          <w:rFonts w:hint="eastAsia" w:ascii="黑体" w:hAnsi="黑体" w:eastAsia="黑体" w:cs="黑体"/>
          <w:color w:val="000000"/>
          <w:sz w:val="44"/>
          <w:szCs w:val="44"/>
        </w:rPr>
        <w:t>限额以下工程开工建设</w:t>
      </w:r>
    </w:p>
    <w:p w14:paraId="49F282D0">
      <w:pPr>
        <w:spacing w:line="520" w:lineRule="exact"/>
        <w:jc w:val="center"/>
        <w:rPr>
          <w:rFonts w:hint="eastAsia" w:ascii="黑体" w:hAnsi="黑体" w:eastAsia="黑体" w:cs="黑体"/>
          <w:color w:val="000000"/>
          <w:sz w:val="44"/>
          <w:szCs w:val="44"/>
        </w:rPr>
      </w:pPr>
      <w:r>
        <w:rPr>
          <w:rFonts w:hint="eastAsia" w:ascii="黑体" w:hAnsi="黑体" w:eastAsia="黑体" w:cs="黑体"/>
          <w:color w:val="000000"/>
          <w:sz w:val="44"/>
          <w:szCs w:val="44"/>
        </w:rPr>
        <w:t>信息登记表（范本）</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1"/>
        <w:gridCol w:w="1154"/>
        <w:gridCol w:w="934"/>
        <w:gridCol w:w="1621"/>
        <w:gridCol w:w="1309"/>
        <w:gridCol w:w="1341"/>
      </w:tblGrid>
      <w:tr w14:paraId="6F60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600" w:type="dxa"/>
            <w:gridSpan w:val="6"/>
            <w:noWrap w:val="0"/>
            <w:vAlign w:val="center"/>
          </w:tcPr>
          <w:p w14:paraId="3F06D6C3">
            <w:pPr>
              <w:spacing w:line="400" w:lineRule="exact"/>
              <w:jc w:val="left"/>
              <w:rPr>
                <w:rFonts w:ascii="宋体" w:hAnsi="宋体"/>
                <w:b/>
                <w:color w:val="000000"/>
                <w:sz w:val="24"/>
              </w:rPr>
            </w:pPr>
            <w:r>
              <w:rPr>
                <w:rFonts w:hint="eastAsia" w:ascii="宋体" w:hAnsi="宋体"/>
                <w:b/>
                <w:bCs/>
                <w:color w:val="000000"/>
                <w:sz w:val="24"/>
              </w:rPr>
              <w:t>一、工程基本信息</w:t>
            </w:r>
          </w:p>
        </w:tc>
      </w:tr>
      <w:tr w14:paraId="7B5F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241" w:type="dxa"/>
            <w:noWrap w:val="0"/>
            <w:vAlign w:val="center"/>
          </w:tcPr>
          <w:p w14:paraId="02F335E8">
            <w:pPr>
              <w:spacing w:line="400" w:lineRule="exact"/>
              <w:jc w:val="center"/>
              <w:rPr>
                <w:rFonts w:ascii="仿宋_GB2312" w:eastAsia="仿宋_GB2312"/>
                <w:color w:val="000000"/>
              </w:rPr>
            </w:pPr>
            <w:r>
              <w:rPr>
                <w:rFonts w:hint="eastAsia" w:ascii="仿宋_GB2312" w:eastAsia="仿宋_GB2312"/>
                <w:color w:val="000000"/>
              </w:rPr>
              <w:t>工程名称</w:t>
            </w:r>
          </w:p>
        </w:tc>
        <w:tc>
          <w:tcPr>
            <w:tcW w:w="2088" w:type="dxa"/>
            <w:gridSpan w:val="2"/>
            <w:noWrap w:val="0"/>
            <w:vAlign w:val="center"/>
          </w:tcPr>
          <w:p w14:paraId="530E3289">
            <w:pPr>
              <w:spacing w:line="400" w:lineRule="exact"/>
              <w:jc w:val="center"/>
              <w:rPr>
                <w:rFonts w:ascii="仿宋_GB2312" w:eastAsia="仿宋_GB2312"/>
                <w:color w:val="000000"/>
              </w:rPr>
            </w:pPr>
          </w:p>
        </w:tc>
        <w:tc>
          <w:tcPr>
            <w:tcW w:w="1621" w:type="dxa"/>
            <w:noWrap w:val="0"/>
            <w:vAlign w:val="center"/>
          </w:tcPr>
          <w:p w14:paraId="165EC8B3">
            <w:pPr>
              <w:spacing w:line="400" w:lineRule="exact"/>
              <w:jc w:val="center"/>
              <w:rPr>
                <w:rFonts w:ascii="仿宋_GB2312" w:eastAsia="仿宋_GB2312"/>
                <w:color w:val="000000"/>
              </w:rPr>
            </w:pPr>
            <w:r>
              <w:rPr>
                <w:rFonts w:hint="eastAsia" w:ascii="仿宋_GB2312" w:eastAsia="仿宋_GB2312"/>
                <w:color w:val="000000"/>
              </w:rPr>
              <w:t>工程地点</w:t>
            </w:r>
          </w:p>
        </w:tc>
        <w:tc>
          <w:tcPr>
            <w:tcW w:w="2650" w:type="dxa"/>
            <w:gridSpan w:val="2"/>
            <w:noWrap w:val="0"/>
            <w:vAlign w:val="center"/>
          </w:tcPr>
          <w:p w14:paraId="0488A583">
            <w:pPr>
              <w:spacing w:line="400" w:lineRule="exact"/>
              <w:jc w:val="center"/>
              <w:rPr>
                <w:rFonts w:ascii="仿宋_GB2312" w:eastAsia="仿宋_GB2312"/>
                <w:color w:val="000000"/>
              </w:rPr>
            </w:pPr>
          </w:p>
        </w:tc>
      </w:tr>
      <w:tr w14:paraId="4196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241" w:type="dxa"/>
            <w:noWrap w:val="0"/>
            <w:vAlign w:val="center"/>
          </w:tcPr>
          <w:p w14:paraId="52B75121">
            <w:pPr>
              <w:spacing w:line="400" w:lineRule="exact"/>
              <w:jc w:val="center"/>
              <w:rPr>
                <w:rFonts w:ascii="仿宋_GB2312" w:eastAsia="仿宋_GB2312"/>
                <w:color w:val="000000"/>
              </w:rPr>
            </w:pPr>
            <w:r>
              <w:rPr>
                <w:rFonts w:hint="eastAsia" w:ascii="仿宋_GB2312" w:eastAsia="仿宋_GB2312"/>
                <w:color w:val="000000"/>
              </w:rPr>
              <w:t>建设单位（个人）名称</w:t>
            </w:r>
          </w:p>
        </w:tc>
        <w:tc>
          <w:tcPr>
            <w:tcW w:w="2088" w:type="dxa"/>
            <w:gridSpan w:val="2"/>
            <w:noWrap w:val="0"/>
            <w:vAlign w:val="center"/>
          </w:tcPr>
          <w:p w14:paraId="4AFE0C1E">
            <w:pPr>
              <w:spacing w:line="400" w:lineRule="exact"/>
              <w:jc w:val="center"/>
              <w:rPr>
                <w:rFonts w:ascii="仿宋_GB2312" w:eastAsia="仿宋_GB2312"/>
                <w:color w:val="000000"/>
              </w:rPr>
            </w:pPr>
          </w:p>
        </w:tc>
        <w:tc>
          <w:tcPr>
            <w:tcW w:w="1621" w:type="dxa"/>
            <w:noWrap w:val="0"/>
            <w:vAlign w:val="center"/>
          </w:tcPr>
          <w:p w14:paraId="1DFE50BD">
            <w:pPr>
              <w:spacing w:line="240" w:lineRule="atLeast"/>
              <w:jc w:val="center"/>
              <w:rPr>
                <w:rFonts w:ascii="仿宋_GB2312" w:eastAsia="仿宋_GB2312"/>
                <w:color w:val="000000"/>
              </w:rPr>
            </w:pPr>
            <w:r>
              <w:rPr>
                <w:rFonts w:hint="eastAsia" w:ascii="仿宋_GB2312" w:eastAsia="仿宋_GB2312"/>
                <w:color w:val="000000"/>
              </w:rPr>
              <w:t>组织机构代码</w:t>
            </w:r>
          </w:p>
          <w:p w14:paraId="3FBA5ED5">
            <w:pPr>
              <w:spacing w:line="240" w:lineRule="atLeast"/>
              <w:jc w:val="center"/>
              <w:rPr>
                <w:rFonts w:ascii="仿宋_GB2312" w:eastAsia="仿宋_GB2312"/>
                <w:color w:val="000000"/>
              </w:rPr>
            </w:pPr>
            <w:r>
              <w:rPr>
                <w:rFonts w:hint="eastAsia" w:ascii="仿宋_GB2312" w:eastAsia="仿宋_GB2312"/>
                <w:color w:val="000000"/>
              </w:rPr>
              <w:t>（身份证号码）</w:t>
            </w:r>
          </w:p>
        </w:tc>
        <w:tc>
          <w:tcPr>
            <w:tcW w:w="2650" w:type="dxa"/>
            <w:gridSpan w:val="2"/>
            <w:noWrap w:val="0"/>
            <w:vAlign w:val="center"/>
          </w:tcPr>
          <w:p w14:paraId="67A2F950">
            <w:pPr>
              <w:spacing w:line="400" w:lineRule="exact"/>
              <w:jc w:val="center"/>
              <w:rPr>
                <w:rFonts w:ascii="仿宋_GB2312" w:eastAsia="仿宋_GB2312"/>
                <w:color w:val="000000"/>
              </w:rPr>
            </w:pPr>
          </w:p>
        </w:tc>
      </w:tr>
      <w:tr w14:paraId="49DA0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241" w:type="dxa"/>
            <w:noWrap w:val="0"/>
            <w:vAlign w:val="center"/>
          </w:tcPr>
          <w:p w14:paraId="6983595F">
            <w:pPr>
              <w:spacing w:line="240" w:lineRule="atLeast"/>
              <w:jc w:val="center"/>
              <w:rPr>
                <w:rFonts w:ascii="仿宋_GB2312" w:eastAsia="仿宋_GB2312"/>
                <w:color w:val="000000"/>
              </w:rPr>
            </w:pPr>
            <w:bookmarkStart w:id="0" w:name="_Hlk85448052"/>
            <w:r>
              <w:rPr>
                <w:rFonts w:hint="eastAsia" w:ascii="仿宋_GB2312" w:eastAsia="仿宋_GB2312"/>
                <w:color w:val="000000"/>
              </w:rPr>
              <w:t>建设单位（个人）</w:t>
            </w:r>
          </w:p>
          <w:p w14:paraId="567EFF19">
            <w:pPr>
              <w:spacing w:line="240" w:lineRule="atLeast"/>
              <w:jc w:val="center"/>
              <w:rPr>
                <w:rFonts w:ascii="仿宋_GB2312" w:eastAsia="仿宋_GB2312"/>
                <w:color w:val="000000"/>
              </w:rPr>
            </w:pPr>
            <w:r>
              <w:rPr>
                <w:rFonts w:hint="eastAsia" w:ascii="仿宋_GB2312" w:eastAsia="仿宋_GB2312"/>
                <w:color w:val="000000"/>
              </w:rPr>
              <w:t>负责人姓名</w:t>
            </w:r>
          </w:p>
        </w:tc>
        <w:tc>
          <w:tcPr>
            <w:tcW w:w="1154" w:type="dxa"/>
            <w:noWrap w:val="0"/>
            <w:vAlign w:val="center"/>
          </w:tcPr>
          <w:p w14:paraId="4B4D1134">
            <w:pPr>
              <w:spacing w:line="240" w:lineRule="atLeast"/>
              <w:jc w:val="center"/>
              <w:rPr>
                <w:rFonts w:ascii="仿宋_GB2312" w:eastAsia="仿宋_GB2312"/>
                <w:color w:val="000000"/>
              </w:rPr>
            </w:pPr>
          </w:p>
        </w:tc>
        <w:tc>
          <w:tcPr>
            <w:tcW w:w="934" w:type="dxa"/>
            <w:noWrap w:val="0"/>
            <w:vAlign w:val="center"/>
          </w:tcPr>
          <w:p w14:paraId="053C1588">
            <w:pPr>
              <w:spacing w:line="240" w:lineRule="atLeast"/>
              <w:jc w:val="center"/>
              <w:rPr>
                <w:rFonts w:ascii="仿宋_GB2312" w:eastAsia="仿宋_GB2312"/>
                <w:color w:val="000000"/>
              </w:rPr>
            </w:pPr>
            <w:r>
              <w:rPr>
                <w:rFonts w:hint="eastAsia" w:ascii="仿宋_GB2312" w:eastAsia="仿宋_GB2312"/>
                <w:color w:val="000000"/>
              </w:rPr>
              <w:t>身份证</w:t>
            </w:r>
          </w:p>
          <w:p w14:paraId="7449F27E">
            <w:pPr>
              <w:spacing w:line="240" w:lineRule="atLeast"/>
              <w:jc w:val="center"/>
              <w:rPr>
                <w:rFonts w:ascii="仿宋_GB2312" w:eastAsia="仿宋_GB2312"/>
                <w:color w:val="000000"/>
              </w:rPr>
            </w:pPr>
            <w:r>
              <w:rPr>
                <w:rFonts w:hint="eastAsia" w:ascii="仿宋_GB2312" w:eastAsia="仿宋_GB2312"/>
                <w:color w:val="000000"/>
              </w:rPr>
              <w:t>号码</w:t>
            </w:r>
          </w:p>
        </w:tc>
        <w:tc>
          <w:tcPr>
            <w:tcW w:w="1621" w:type="dxa"/>
            <w:noWrap w:val="0"/>
            <w:vAlign w:val="center"/>
          </w:tcPr>
          <w:p w14:paraId="3FE23CB8">
            <w:pPr>
              <w:spacing w:line="400" w:lineRule="exact"/>
              <w:jc w:val="center"/>
              <w:rPr>
                <w:rFonts w:ascii="仿宋_GB2312" w:eastAsia="仿宋_GB2312"/>
                <w:color w:val="000000"/>
              </w:rPr>
            </w:pPr>
          </w:p>
        </w:tc>
        <w:tc>
          <w:tcPr>
            <w:tcW w:w="1309" w:type="dxa"/>
            <w:noWrap w:val="0"/>
            <w:vAlign w:val="center"/>
          </w:tcPr>
          <w:p w14:paraId="76CFB89F">
            <w:pPr>
              <w:spacing w:line="400" w:lineRule="exact"/>
              <w:jc w:val="center"/>
              <w:rPr>
                <w:rFonts w:ascii="仿宋_GB2312" w:eastAsia="仿宋_GB2312"/>
                <w:color w:val="000000"/>
              </w:rPr>
            </w:pPr>
            <w:r>
              <w:rPr>
                <w:rFonts w:hint="eastAsia" w:ascii="仿宋_GB2312" w:eastAsia="仿宋_GB2312"/>
                <w:color w:val="000000"/>
              </w:rPr>
              <w:t>联系电话</w:t>
            </w:r>
          </w:p>
        </w:tc>
        <w:tc>
          <w:tcPr>
            <w:tcW w:w="1341" w:type="dxa"/>
            <w:noWrap w:val="0"/>
            <w:vAlign w:val="center"/>
          </w:tcPr>
          <w:p w14:paraId="1D75FA67">
            <w:pPr>
              <w:spacing w:line="400" w:lineRule="exact"/>
              <w:jc w:val="center"/>
              <w:rPr>
                <w:rFonts w:ascii="仿宋_GB2312" w:eastAsia="仿宋_GB2312"/>
                <w:color w:val="000000"/>
              </w:rPr>
            </w:pPr>
          </w:p>
        </w:tc>
      </w:tr>
      <w:bookmarkEnd w:id="0"/>
      <w:tr w14:paraId="14DD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241" w:type="dxa"/>
            <w:noWrap w:val="0"/>
            <w:vAlign w:val="center"/>
          </w:tcPr>
          <w:p w14:paraId="34C3B294">
            <w:pPr>
              <w:spacing w:line="400" w:lineRule="exact"/>
              <w:jc w:val="center"/>
              <w:rPr>
                <w:rFonts w:ascii="仿宋_GB2312" w:eastAsia="仿宋_GB2312"/>
                <w:color w:val="000000"/>
              </w:rPr>
            </w:pPr>
            <w:r>
              <w:rPr>
                <w:rFonts w:hint="eastAsia" w:ascii="仿宋_GB2312" w:eastAsia="仿宋_GB2312"/>
                <w:color w:val="000000"/>
              </w:rPr>
              <w:t>施工单位名称</w:t>
            </w:r>
          </w:p>
        </w:tc>
        <w:tc>
          <w:tcPr>
            <w:tcW w:w="2088" w:type="dxa"/>
            <w:gridSpan w:val="2"/>
            <w:noWrap w:val="0"/>
            <w:vAlign w:val="center"/>
          </w:tcPr>
          <w:p w14:paraId="717143E3">
            <w:pPr>
              <w:spacing w:line="400" w:lineRule="exact"/>
              <w:jc w:val="center"/>
              <w:rPr>
                <w:rFonts w:ascii="仿宋_GB2312" w:eastAsia="仿宋_GB2312"/>
                <w:color w:val="000000"/>
              </w:rPr>
            </w:pPr>
          </w:p>
        </w:tc>
        <w:tc>
          <w:tcPr>
            <w:tcW w:w="1621" w:type="dxa"/>
            <w:noWrap w:val="0"/>
            <w:vAlign w:val="center"/>
          </w:tcPr>
          <w:p w14:paraId="2B1FF354">
            <w:pPr>
              <w:spacing w:line="400" w:lineRule="exact"/>
              <w:jc w:val="center"/>
              <w:rPr>
                <w:rFonts w:ascii="仿宋_GB2312" w:eastAsia="仿宋_GB2312"/>
                <w:color w:val="000000"/>
              </w:rPr>
            </w:pPr>
            <w:r>
              <w:rPr>
                <w:rFonts w:hint="eastAsia" w:ascii="仿宋_GB2312" w:eastAsia="仿宋_GB2312"/>
                <w:color w:val="000000"/>
              </w:rPr>
              <w:t>施工单位资质</w:t>
            </w:r>
          </w:p>
        </w:tc>
        <w:tc>
          <w:tcPr>
            <w:tcW w:w="2650" w:type="dxa"/>
            <w:gridSpan w:val="2"/>
            <w:noWrap w:val="0"/>
            <w:vAlign w:val="center"/>
          </w:tcPr>
          <w:p w14:paraId="7EACD5B3">
            <w:pPr>
              <w:spacing w:line="400" w:lineRule="exact"/>
              <w:jc w:val="center"/>
              <w:rPr>
                <w:rFonts w:ascii="仿宋_GB2312" w:eastAsia="仿宋_GB2312"/>
                <w:color w:val="000000"/>
              </w:rPr>
            </w:pPr>
          </w:p>
        </w:tc>
      </w:tr>
      <w:tr w14:paraId="64B0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241" w:type="dxa"/>
            <w:noWrap w:val="0"/>
            <w:vAlign w:val="center"/>
          </w:tcPr>
          <w:p w14:paraId="33B8F6D0">
            <w:pPr>
              <w:spacing w:line="240" w:lineRule="atLeast"/>
              <w:jc w:val="center"/>
              <w:rPr>
                <w:rFonts w:ascii="仿宋_GB2312" w:eastAsia="仿宋_GB2312"/>
                <w:color w:val="000000"/>
              </w:rPr>
            </w:pPr>
            <w:r>
              <w:rPr>
                <w:rFonts w:hint="eastAsia" w:ascii="仿宋_GB2312" w:eastAsia="仿宋_GB2312"/>
                <w:color w:val="000000"/>
              </w:rPr>
              <w:t>施工单位负责人</w:t>
            </w:r>
          </w:p>
        </w:tc>
        <w:tc>
          <w:tcPr>
            <w:tcW w:w="1154" w:type="dxa"/>
            <w:noWrap w:val="0"/>
            <w:vAlign w:val="center"/>
          </w:tcPr>
          <w:p w14:paraId="0A59638B">
            <w:pPr>
              <w:spacing w:line="240" w:lineRule="atLeast"/>
              <w:jc w:val="center"/>
              <w:rPr>
                <w:rFonts w:ascii="仿宋_GB2312" w:eastAsia="仿宋_GB2312"/>
                <w:color w:val="000000"/>
              </w:rPr>
            </w:pPr>
          </w:p>
        </w:tc>
        <w:tc>
          <w:tcPr>
            <w:tcW w:w="934" w:type="dxa"/>
            <w:noWrap w:val="0"/>
            <w:vAlign w:val="center"/>
          </w:tcPr>
          <w:p w14:paraId="5B6F5FFA">
            <w:pPr>
              <w:spacing w:line="240" w:lineRule="atLeast"/>
              <w:jc w:val="center"/>
              <w:rPr>
                <w:rFonts w:ascii="仿宋_GB2312" w:eastAsia="仿宋_GB2312"/>
                <w:color w:val="000000"/>
              </w:rPr>
            </w:pPr>
            <w:r>
              <w:rPr>
                <w:rFonts w:hint="eastAsia" w:ascii="仿宋_GB2312" w:eastAsia="仿宋_GB2312"/>
                <w:color w:val="000000"/>
              </w:rPr>
              <w:t>注册执</w:t>
            </w:r>
          </w:p>
          <w:p w14:paraId="0E7615DC">
            <w:pPr>
              <w:spacing w:line="240" w:lineRule="atLeast"/>
              <w:jc w:val="center"/>
              <w:rPr>
                <w:rFonts w:ascii="仿宋_GB2312" w:eastAsia="仿宋_GB2312"/>
                <w:color w:val="000000"/>
              </w:rPr>
            </w:pPr>
            <w:r>
              <w:rPr>
                <w:rFonts w:hint="eastAsia" w:ascii="仿宋_GB2312" w:eastAsia="仿宋_GB2312"/>
                <w:color w:val="000000"/>
              </w:rPr>
              <w:t>业证号</w:t>
            </w:r>
          </w:p>
        </w:tc>
        <w:tc>
          <w:tcPr>
            <w:tcW w:w="1621" w:type="dxa"/>
            <w:noWrap w:val="0"/>
            <w:vAlign w:val="center"/>
          </w:tcPr>
          <w:p w14:paraId="543753A7">
            <w:pPr>
              <w:spacing w:line="400" w:lineRule="exact"/>
              <w:jc w:val="center"/>
              <w:rPr>
                <w:rFonts w:ascii="仿宋_GB2312" w:eastAsia="仿宋_GB2312"/>
                <w:color w:val="000000"/>
              </w:rPr>
            </w:pPr>
          </w:p>
        </w:tc>
        <w:tc>
          <w:tcPr>
            <w:tcW w:w="1309" w:type="dxa"/>
            <w:noWrap w:val="0"/>
            <w:vAlign w:val="center"/>
          </w:tcPr>
          <w:p w14:paraId="452A9158">
            <w:pPr>
              <w:spacing w:line="400" w:lineRule="exact"/>
              <w:jc w:val="center"/>
              <w:rPr>
                <w:rFonts w:ascii="仿宋_GB2312" w:eastAsia="仿宋_GB2312"/>
                <w:color w:val="000000"/>
              </w:rPr>
            </w:pPr>
            <w:r>
              <w:rPr>
                <w:rFonts w:hint="eastAsia" w:ascii="仿宋_GB2312" w:eastAsia="仿宋_GB2312"/>
                <w:color w:val="000000"/>
              </w:rPr>
              <w:t>联系电话</w:t>
            </w:r>
          </w:p>
        </w:tc>
        <w:tc>
          <w:tcPr>
            <w:tcW w:w="1341" w:type="dxa"/>
            <w:noWrap w:val="0"/>
            <w:vAlign w:val="center"/>
          </w:tcPr>
          <w:p w14:paraId="47037BDF">
            <w:pPr>
              <w:spacing w:line="400" w:lineRule="exact"/>
              <w:jc w:val="center"/>
              <w:rPr>
                <w:rFonts w:ascii="仿宋_GB2312" w:eastAsia="仿宋_GB2312"/>
                <w:color w:val="000000"/>
              </w:rPr>
            </w:pPr>
          </w:p>
        </w:tc>
      </w:tr>
      <w:tr w14:paraId="3F33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2241" w:type="dxa"/>
            <w:noWrap w:val="0"/>
            <w:vAlign w:val="center"/>
          </w:tcPr>
          <w:p w14:paraId="12BB7B7F">
            <w:pPr>
              <w:spacing w:line="320" w:lineRule="exact"/>
              <w:jc w:val="center"/>
              <w:rPr>
                <w:rFonts w:ascii="仿宋_GB2312" w:eastAsia="仿宋_GB2312"/>
                <w:color w:val="000000"/>
              </w:rPr>
            </w:pPr>
            <w:r>
              <w:rPr>
                <w:rFonts w:hint="eastAsia" w:ascii="仿宋_GB2312" w:eastAsia="仿宋_GB2312"/>
                <w:color w:val="000000"/>
              </w:rPr>
              <w:t>工程类别（在对应项目上打</w:t>
            </w:r>
            <w:r>
              <w:rPr>
                <w:rFonts w:hint="eastAsia" w:ascii="仿宋_GB2312" w:hAnsi="Arial" w:eastAsia="仿宋_GB2312" w:cs="Arial"/>
                <w:color w:val="000000"/>
              </w:rPr>
              <w:t>√）</w:t>
            </w:r>
          </w:p>
        </w:tc>
        <w:tc>
          <w:tcPr>
            <w:tcW w:w="6359" w:type="dxa"/>
            <w:gridSpan w:val="5"/>
            <w:noWrap w:val="0"/>
            <w:vAlign w:val="center"/>
          </w:tcPr>
          <w:p w14:paraId="4DDD2D96">
            <w:pPr>
              <w:numPr>
                <w:ilvl w:val="0"/>
                <w:numId w:val="1"/>
              </w:numPr>
              <w:spacing w:line="320" w:lineRule="exact"/>
              <w:rPr>
                <w:rFonts w:ascii="仿宋_GB2312" w:hAnsi="宋体" w:eastAsia="仿宋_GB2312" w:cs="宋体"/>
                <w:color w:val="000000"/>
              </w:rPr>
            </w:pPr>
            <w:r>
              <w:rPr>
                <w:rFonts w:hint="eastAsia" w:ascii="仿宋_GB2312" w:eastAsia="仿宋_GB2312"/>
                <w:color w:val="000000"/>
              </w:rPr>
              <w:t>房建工程（新建</w:t>
            </w:r>
            <w:r>
              <w:rPr>
                <w:rFonts w:hint="eastAsia" w:ascii="仿宋_GB2312" w:hAnsi="宋体" w:eastAsia="仿宋_GB2312" w:cs="宋体"/>
                <w:color w:val="000000"/>
              </w:rPr>
              <w:t>□  改、扩建□ 装饰装修□） 2.市政工程</w:t>
            </w:r>
            <w:r>
              <w:rPr>
                <w:rFonts w:hint="eastAsia" w:ascii="仿宋_GB2312" w:hAnsi="宋体" w:eastAsia="仿宋_GB2312" w:cs="宋体"/>
                <w:color w:val="000000"/>
              </w:rPr>
              <w:sym w:font="Wingdings 2" w:char="00A3"/>
            </w:r>
            <w:r>
              <w:rPr>
                <w:rFonts w:hint="eastAsia" w:ascii="仿宋_GB2312" w:hAnsi="宋体" w:eastAsia="仿宋_GB2312" w:cs="宋体"/>
                <w:color w:val="000000"/>
              </w:rPr>
              <w:t xml:space="preserve">  </w:t>
            </w:r>
          </w:p>
          <w:p w14:paraId="5A1EE308">
            <w:pPr>
              <w:spacing w:line="320" w:lineRule="exact"/>
              <w:rPr>
                <w:rFonts w:ascii="仿宋_GB2312" w:hAnsi="宋体" w:eastAsia="仿宋_GB2312" w:cs="宋体"/>
                <w:color w:val="000000"/>
              </w:rPr>
            </w:pPr>
            <w:r>
              <w:rPr>
                <w:rFonts w:hint="eastAsia" w:ascii="仿宋_GB2312" w:hAnsi="宋体" w:eastAsia="仿宋_GB2312" w:cs="宋体"/>
                <w:color w:val="000000"/>
              </w:rPr>
              <w:t>3.公路工程</w:t>
            </w:r>
            <w:r>
              <w:rPr>
                <w:rFonts w:hint="eastAsia" w:ascii="仿宋_GB2312" w:hAnsi="宋体" w:eastAsia="仿宋_GB2312" w:cs="宋体"/>
                <w:color w:val="000000"/>
              </w:rPr>
              <w:sym w:font="Wingdings 2" w:char="00A3"/>
            </w:r>
            <w:r>
              <w:rPr>
                <w:rFonts w:hint="eastAsia" w:ascii="仿宋_GB2312" w:hAnsi="宋体" w:eastAsia="仿宋_GB2312" w:cs="宋体"/>
                <w:color w:val="000000"/>
              </w:rPr>
              <w:t xml:space="preserve">    4.水利工程</w:t>
            </w:r>
            <w:r>
              <w:rPr>
                <w:rFonts w:hint="eastAsia" w:ascii="仿宋_GB2312" w:hAnsi="宋体" w:eastAsia="仿宋_GB2312" w:cs="宋体"/>
                <w:color w:val="000000"/>
              </w:rPr>
              <w:sym w:font="Wingdings 2" w:char="00A3"/>
            </w:r>
            <w:r>
              <w:rPr>
                <w:rFonts w:hint="eastAsia" w:ascii="仿宋_GB2312" w:hAnsi="宋体" w:eastAsia="仿宋_GB2312" w:cs="宋体"/>
                <w:color w:val="000000"/>
              </w:rPr>
              <w:t xml:space="preserve">    5.园林绿化工程</w:t>
            </w:r>
            <w:r>
              <w:rPr>
                <w:rFonts w:hint="eastAsia" w:ascii="仿宋_GB2312" w:hAnsi="宋体" w:eastAsia="仿宋_GB2312" w:cs="宋体"/>
                <w:color w:val="000000"/>
              </w:rPr>
              <w:sym w:font="Wingdings 2" w:char="00A3"/>
            </w:r>
            <w:r>
              <w:rPr>
                <w:rFonts w:hint="eastAsia" w:ascii="仿宋_GB2312" w:hAnsi="宋体" w:eastAsia="仿宋_GB2312" w:cs="宋体"/>
                <w:color w:val="000000"/>
              </w:rPr>
              <w:t xml:space="preserve">  </w:t>
            </w:r>
          </w:p>
          <w:p w14:paraId="178E8135">
            <w:pPr>
              <w:spacing w:line="320" w:lineRule="exact"/>
              <w:rPr>
                <w:rFonts w:ascii="仿宋_GB2312" w:hAnsi="宋体" w:eastAsia="仿宋_GB2312" w:cs="宋体"/>
                <w:color w:val="000000"/>
              </w:rPr>
            </w:pPr>
            <w:r>
              <w:rPr>
                <w:rFonts w:hint="eastAsia" w:ascii="仿宋_GB2312" w:hAnsi="宋体" w:eastAsia="仿宋_GB2312" w:cs="宋体"/>
                <w:color w:val="000000"/>
              </w:rPr>
              <w:t>6.通信工程</w:t>
            </w:r>
            <w:r>
              <w:rPr>
                <w:rFonts w:hint="eastAsia" w:ascii="仿宋_GB2312" w:hAnsi="宋体" w:eastAsia="仿宋_GB2312" w:cs="宋体"/>
                <w:color w:val="000000"/>
              </w:rPr>
              <w:sym w:font="Wingdings 2" w:char="00A3"/>
            </w:r>
            <w:r>
              <w:rPr>
                <w:rFonts w:hint="eastAsia" w:ascii="仿宋_GB2312" w:hAnsi="宋体" w:eastAsia="仿宋_GB2312" w:cs="宋体"/>
                <w:color w:val="000000"/>
              </w:rPr>
              <w:t xml:space="preserve">    7.电力工程</w:t>
            </w:r>
            <w:r>
              <w:rPr>
                <w:rFonts w:hint="eastAsia" w:ascii="仿宋_GB2312" w:hAnsi="宋体" w:eastAsia="仿宋_GB2312" w:cs="宋体"/>
                <w:color w:val="000000"/>
              </w:rPr>
              <w:sym w:font="Wingdings 2" w:char="00A3"/>
            </w:r>
            <w:r>
              <w:rPr>
                <w:rFonts w:hint="eastAsia" w:ascii="仿宋_GB2312" w:hAnsi="宋体" w:eastAsia="仿宋_GB2312" w:cs="宋体"/>
                <w:color w:val="000000"/>
              </w:rPr>
              <w:t xml:space="preserve">    8.公用工程</w:t>
            </w:r>
            <w:r>
              <w:rPr>
                <w:rFonts w:hint="eastAsia" w:ascii="仿宋_GB2312" w:hAnsi="宋体" w:eastAsia="仿宋_GB2312" w:cs="宋体"/>
                <w:color w:val="000000"/>
              </w:rPr>
              <w:sym w:font="Wingdings 2" w:char="00A3"/>
            </w:r>
            <w:r>
              <w:rPr>
                <w:rFonts w:hint="eastAsia" w:ascii="仿宋_GB2312" w:hAnsi="宋体" w:eastAsia="仿宋_GB2312" w:cs="宋体"/>
                <w:color w:val="000000"/>
              </w:rPr>
              <w:t xml:space="preserve">  </w:t>
            </w:r>
          </w:p>
          <w:p w14:paraId="619CCCAA">
            <w:pPr>
              <w:spacing w:line="320" w:lineRule="exact"/>
              <w:rPr>
                <w:rFonts w:ascii="仿宋_GB2312" w:hAnsi="宋体" w:eastAsia="仿宋_GB2312" w:cs="宋体"/>
                <w:color w:val="000000"/>
              </w:rPr>
            </w:pPr>
            <w:r>
              <w:rPr>
                <w:rFonts w:hint="eastAsia" w:ascii="仿宋_GB2312" w:hAnsi="宋体" w:eastAsia="仿宋_GB2312" w:cs="宋体"/>
                <w:color w:val="000000"/>
              </w:rPr>
              <w:t>9.其他专业工程</w:t>
            </w:r>
            <w:r>
              <w:rPr>
                <w:rFonts w:hint="eastAsia" w:ascii="仿宋_GB2312" w:hAnsi="宋体" w:eastAsia="仿宋_GB2312" w:cs="宋体"/>
                <w:color w:val="000000"/>
              </w:rPr>
              <w:sym w:font="Wingdings 2" w:char="00A3"/>
            </w:r>
            <w:r>
              <w:rPr>
                <w:rFonts w:hint="eastAsia" w:ascii="仿宋_GB2312" w:hAnsi="宋体" w:eastAsia="仿宋_GB2312" w:cs="宋体"/>
                <w:color w:val="000000"/>
                <w:u w:val="single"/>
              </w:rPr>
              <w:t xml:space="preserve">                    </w:t>
            </w:r>
          </w:p>
        </w:tc>
      </w:tr>
      <w:tr w14:paraId="714A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241" w:type="dxa"/>
            <w:noWrap w:val="0"/>
            <w:vAlign w:val="center"/>
          </w:tcPr>
          <w:p w14:paraId="6F064CB1">
            <w:pPr>
              <w:spacing w:line="400" w:lineRule="exact"/>
              <w:jc w:val="center"/>
              <w:rPr>
                <w:rFonts w:ascii="仿宋_GB2312" w:eastAsia="仿宋_GB2312"/>
                <w:color w:val="000000"/>
              </w:rPr>
            </w:pPr>
            <w:r>
              <w:rPr>
                <w:rFonts w:hint="eastAsia" w:ascii="仿宋_GB2312" w:eastAsia="仿宋_GB2312"/>
                <w:color w:val="000000"/>
              </w:rPr>
              <w:t>建设规模</w:t>
            </w:r>
          </w:p>
        </w:tc>
        <w:tc>
          <w:tcPr>
            <w:tcW w:w="6359" w:type="dxa"/>
            <w:gridSpan w:val="5"/>
            <w:noWrap w:val="0"/>
            <w:vAlign w:val="center"/>
          </w:tcPr>
          <w:p w14:paraId="17B84CEB">
            <w:pPr>
              <w:spacing w:line="400" w:lineRule="exact"/>
              <w:jc w:val="center"/>
              <w:rPr>
                <w:rFonts w:ascii="仿宋_GB2312" w:eastAsia="仿宋_GB2312"/>
                <w:color w:val="000000"/>
              </w:rPr>
            </w:pPr>
            <w:r>
              <w:rPr>
                <w:rFonts w:hint="eastAsia" w:ascii="仿宋_GB2312" w:eastAsia="仿宋_GB2312"/>
                <w:color w:val="000000"/>
              </w:rPr>
              <w:t>总投资：</w:t>
            </w:r>
            <w:r>
              <w:rPr>
                <w:rFonts w:hint="eastAsia" w:ascii="仿宋_GB2312" w:eastAsia="仿宋_GB2312"/>
                <w:color w:val="000000"/>
                <w:u w:val="single"/>
              </w:rPr>
              <w:t xml:space="preserve">       </w:t>
            </w:r>
            <w:r>
              <w:rPr>
                <w:rFonts w:hint="eastAsia" w:ascii="仿宋_GB2312" w:eastAsia="仿宋_GB2312"/>
                <w:color w:val="000000"/>
              </w:rPr>
              <w:t>万元；建筑面积：</w:t>
            </w:r>
            <w:r>
              <w:rPr>
                <w:rFonts w:hint="eastAsia" w:ascii="仿宋_GB2312" w:eastAsia="仿宋_GB2312"/>
                <w:color w:val="000000"/>
                <w:u w:val="single"/>
              </w:rPr>
              <w:t xml:space="preserve">       </w:t>
            </w:r>
            <w:r>
              <w:rPr>
                <w:rFonts w:hint="eastAsia" w:ascii="仿宋_GB2312" w:eastAsia="仿宋_GB2312"/>
                <w:color w:val="000000"/>
              </w:rPr>
              <w:t>平方米；层数：</w:t>
            </w:r>
            <w:r>
              <w:rPr>
                <w:rFonts w:hint="eastAsia" w:ascii="仿宋_GB2312" w:eastAsia="仿宋_GB2312"/>
                <w:color w:val="000000"/>
                <w:u w:val="single"/>
              </w:rPr>
              <w:t xml:space="preserve">       </w:t>
            </w:r>
            <w:r>
              <w:rPr>
                <w:rFonts w:hint="eastAsia" w:ascii="仿宋_GB2312" w:eastAsia="仿宋_GB2312"/>
                <w:color w:val="000000"/>
              </w:rPr>
              <w:t>层</w:t>
            </w:r>
          </w:p>
        </w:tc>
      </w:tr>
      <w:tr w14:paraId="34C5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241" w:type="dxa"/>
            <w:noWrap w:val="0"/>
            <w:vAlign w:val="center"/>
          </w:tcPr>
          <w:p w14:paraId="7150A8CD">
            <w:pPr>
              <w:spacing w:line="400" w:lineRule="exact"/>
              <w:jc w:val="center"/>
              <w:rPr>
                <w:rFonts w:ascii="仿宋_GB2312" w:eastAsia="仿宋_GB2312"/>
                <w:color w:val="000000"/>
              </w:rPr>
            </w:pPr>
            <w:r>
              <w:rPr>
                <w:rFonts w:hint="eastAsia" w:ascii="仿宋_GB2312" w:eastAsia="仿宋_GB2312"/>
                <w:color w:val="000000"/>
              </w:rPr>
              <w:t>主要施工内容（行为）</w:t>
            </w:r>
          </w:p>
        </w:tc>
        <w:tc>
          <w:tcPr>
            <w:tcW w:w="6359" w:type="dxa"/>
            <w:gridSpan w:val="5"/>
            <w:noWrap w:val="0"/>
            <w:vAlign w:val="center"/>
          </w:tcPr>
          <w:p w14:paraId="16F6A753">
            <w:pPr>
              <w:spacing w:line="400" w:lineRule="exact"/>
              <w:jc w:val="center"/>
              <w:rPr>
                <w:rFonts w:ascii="仿宋_GB2312" w:eastAsia="仿宋_GB2312"/>
                <w:color w:val="000000"/>
              </w:rPr>
            </w:pPr>
          </w:p>
        </w:tc>
      </w:tr>
      <w:tr w14:paraId="400F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600" w:type="dxa"/>
            <w:gridSpan w:val="6"/>
            <w:noWrap w:val="0"/>
            <w:vAlign w:val="center"/>
          </w:tcPr>
          <w:p w14:paraId="1A42E497">
            <w:pPr>
              <w:spacing w:line="400" w:lineRule="exact"/>
              <w:jc w:val="left"/>
              <w:rPr>
                <w:rFonts w:ascii="仿宋_GB2312" w:eastAsia="仿宋_GB2312"/>
                <w:color w:val="000000"/>
              </w:rPr>
            </w:pPr>
            <w:r>
              <w:rPr>
                <w:rFonts w:hint="eastAsia" w:ascii="宋体" w:hAnsi="宋体"/>
                <w:b/>
                <w:bCs/>
                <w:color w:val="000000"/>
                <w:sz w:val="24"/>
              </w:rPr>
              <w:t>二、建设单位应提供的资料</w:t>
            </w:r>
          </w:p>
        </w:tc>
      </w:tr>
      <w:tr w14:paraId="1E1A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jc w:val="center"/>
        </w:trPr>
        <w:tc>
          <w:tcPr>
            <w:tcW w:w="8600" w:type="dxa"/>
            <w:gridSpan w:val="6"/>
            <w:noWrap w:val="0"/>
            <w:vAlign w:val="top"/>
          </w:tcPr>
          <w:p w14:paraId="59733860">
            <w:pPr>
              <w:spacing w:line="320" w:lineRule="exact"/>
              <w:rPr>
                <w:rFonts w:ascii="仿宋_GB2312" w:eastAsia="仿宋_GB2312"/>
                <w:color w:val="000000"/>
                <w:szCs w:val="21"/>
              </w:rPr>
            </w:pPr>
            <w:r>
              <w:rPr>
                <w:rFonts w:hint="eastAsia" w:ascii="仿宋_GB2312" w:eastAsia="仿宋_GB2312"/>
                <w:color w:val="000000"/>
                <w:szCs w:val="21"/>
              </w:rPr>
              <w:t>1.建设工程用地批准文件、产权租赁协议；</w:t>
            </w:r>
            <w:r>
              <w:rPr>
                <w:rFonts w:hint="eastAsia" w:ascii="仿宋_GB2312" w:hAnsi="宋体" w:eastAsia="仿宋_GB2312" w:cs="宋体"/>
                <w:color w:val="000000"/>
                <w:szCs w:val="21"/>
              </w:rPr>
              <w:sym w:font="Wingdings 2" w:char="00A3"/>
            </w:r>
          </w:p>
          <w:p w14:paraId="3A69B620">
            <w:pPr>
              <w:spacing w:line="320" w:lineRule="exact"/>
              <w:rPr>
                <w:rFonts w:ascii="仿宋_GB2312" w:eastAsia="仿宋_GB2312"/>
                <w:color w:val="000000"/>
                <w:szCs w:val="21"/>
              </w:rPr>
            </w:pPr>
            <w:r>
              <w:rPr>
                <w:rFonts w:hint="eastAsia" w:ascii="仿宋_GB2312" w:eastAsia="仿宋_GB2312"/>
                <w:color w:val="000000"/>
                <w:szCs w:val="21"/>
              </w:rPr>
              <w:t>2.建设工程规划许可手续；</w:t>
            </w:r>
            <w:r>
              <w:rPr>
                <w:rFonts w:hint="eastAsia" w:ascii="仿宋_GB2312" w:hAnsi="宋体" w:eastAsia="仿宋_GB2312" w:cs="宋体"/>
                <w:color w:val="000000"/>
                <w:szCs w:val="21"/>
              </w:rPr>
              <w:sym w:font="Wingdings 2" w:char="00A3"/>
            </w:r>
          </w:p>
          <w:p w14:paraId="3F2FF292">
            <w:pPr>
              <w:spacing w:line="320" w:lineRule="exact"/>
              <w:rPr>
                <w:rFonts w:ascii="仿宋_GB2312" w:eastAsia="仿宋_GB2312"/>
                <w:color w:val="000000"/>
                <w:szCs w:val="21"/>
              </w:rPr>
            </w:pPr>
            <w:r>
              <w:rPr>
                <w:rFonts w:hint="eastAsia" w:ascii="仿宋_GB2312" w:eastAsia="仿宋_GB2312"/>
                <w:color w:val="000000"/>
                <w:szCs w:val="21"/>
              </w:rPr>
              <w:t>3.满足施工技术要求的施工图纸或选用的设计通用图和标准图集；</w:t>
            </w:r>
            <w:r>
              <w:rPr>
                <w:rFonts w:hint="eastAsia" w:ascii="仿宋_GB2312" w:hAnsi="宋体" w:eastAsia="仿宋_GB2312" w:cs="宋体"/>
                <w:color w:val="000000"/>
                <w:szCs w:val="21"/>
              </w:rPr>
              <w:sym w:font="Wingdings 2" w:char="00A3"/>
            </w:r>
          </w:p>
          <w:p w14:paraId="2A789917">
            <w:pPr>
              <w:spacing w:line="320" w:lineRule="exact"/>
              <w:rPr>
                <w:rFonts w:ascii="仿宋_GB2312" w:eastAsia="仿宋_GB2312"/>
                <w:color w:val="000000"/>
                <w:szCs w:val="21"/>
              </w:rPr>
            </w:pPr>
            <w:r>
              <w:rPr>
                <w:rFonts w:hint="eastAsia" w:ascii="仿宋_GB2312" w:eastAsia="仿宋_GB2312"/>
                <w:color w:val="000000"/>
                <w:szCs w:val="21"/>
              </w:rPr>
              <w:t>4.施工单位资质文件及工程承发包合同关键页；</w:t>
            </w:r>
            <w:r>
              <w:rPr>
                <w:rFonts w:hint="eastAsia" w:ascii="仿宋_GB2312" w:hAnsi="宋体" w:eastAsia="仿宋_GB2312" w:cs="宋体"/>
                <w:color w:val="000000"/>
                <w:szCs w:val="21"/>
              </w:rPr>
              <w:sym w:font="Wingdings 2" w:char="00A3"/>
            </w:r>
          </w:p>
          <w:p w14:paraId="5A7A29EF">
            <w:pPr>
              <w:spacing w:line="320" w:lineRule="exact"/>
              <w:rPr>
                <w:rFonts w:ascii="仿宋_GB2312" w:hAnsi="宋体" w:eastAsia="仿宋_GB2312" w:cs="宋体"/>
                <w:color w:val="000000"/>
                <w:szCs w:val="21"/>
              </w:rPr>
            </w:pPr>
            <w:r>
              <w:rPr>
                <w:rFonts w:hint="eastAsia" w:ascii="仿宋_GB2312" w:eastAsia="仿宋_GB2312"/>
                <w:color w:val="000000"/>
                <w:szCs w:val="21"/>
              </w:rPr>
              <w:t>5.提供挖掘工程地下管线调查情况；</w:t>
            </w:r>
            <w:r>
              <w:rPr>
                <w:rFonts w:hint="eastAsia" w:ascii="仿宋_GB2312" w:hAnsi="宋体" w:eastAsia="仿宋_GB2312" w:cs="宋体"/>
                <w:color w:val="000000"/>
                <w:szCs w:val="21"/>
              </w:rPr>
              <w:sym w:font="Wingdings 2" w:char="00A3"/>
            </w:r>
          </w:p>
          <w:p w14:paraId="07CC69C2">
            <w:pPr>
              <w:spacing w:line="320" w:lineRule="exact"/>
              <w:rPr>
                <w:rFonts w:ascii="仿宋_GB2312" w:eastAsia="仿宋_GB2312"/>
                <w:color w:val="000000"/>
                <w:szCs w:val="21"/>
              </w:rPr>
            </w:pPr>
            <w:r>
              <w:rPr>
                <w:rFonts w:hint="eastAsia" w:ascii="仿宋_GB2312" w:eastAsia="仿宋_GB2312"/>
                <w:color w:val="000000"/>
                <w:szCs w:val="21"/>
              </w:rPr>
              <w:t>6</w:t>
            </w:r>
            <w:r>
              <w:rPr>
                <w:rFonts w:ascii="仿宋_GB2312" w:eastAsia="仿宋_GB2312"/>
                <w:color w:val="000000"/>
                <w:szCs w:val="21"/>
              </w:rPr>
              <w:t>.</w:t>
            </w:r>
            <w:r>
              <w:rPr>
                <w:rFonts w:hint="eastAsia" w:ascii="仿宋_GB2312" w:eastAsia="仿宋_GB2312"/>
                <w:color w:val="000000"/>
                <w:szCs w:val="21"/>
              </w:rPr>
              <w:t>专项施工方案。</w:t>
            </w:r>
            <w:r>
              <w:rPr>
                <w:rFonts w:hint="eastAsia" w:ascii="仿宋_GB2312" w:hAnsi="宋体" w:eastAsia="仿宋_GB2312" w:cs="宋体"/>
                <w:color w:val="000000"/>
                <w:szCs w:val="21"/>
              </w:rPr>
              <w:sym w:font="Wingdings 2" w:char="00A3"/>
            </w:r>
          </w:p>
          <w:p w14:paraId="22E095C1">
            <w:pPr>
              <w:spacing w:line="400" w:lineRule="exact"/>
              <w:rPr>
                <w:rFonts w:ascii="仿宋_GB2312" w:eastAsia="仿宋_GB2312"/>
                <w:color w:val="000000"/>
                <w:sz w:val="24"/>
              </w:rPr>
            </w:pPr>
            <w:r>
              <w:rPr>
                <w:rFonts w:hint="eastAsia" w:ascii="仿宋_GB2312" w:eastAsia="仿宋_GB2312"/>
                <w:b/>
                <w:bCs/>
                <w:color w:val="000000"/>
                <w:sz w:val="24"/>
              </w:rPr>
              <w:t>注：以上资料如有需提供，均为非必要提交项。</w:t>
            </w:r>
          </w:p>
        </w:tc>
      </w:tr>
      <w:tr w14:paraId="005D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600" w:type="dxa"/>
            <w:gridSpan w:val="6"/>
            <w:noWrap w:val="0"/>
            <w:vAlign w:val="center"/>
          </w:tcPr>
          <w:p w14:paraId="6746F4ED">
            <w:pPr>
              <w:spacing w:line="400" w:lineRule="exact"/>
              <w:jc w:val="left"/>
              <w:rPr>
                <w:rFonts w:ascii="仿宋_GB2312" w:eastAsia="仿宋_GB2312"/>
                <w:color w:val="000000"/>
              </w:rPr>
            </w:pPr>
            <w:r>
              <w:rPr>
                <w:rFonts w:hint="eastAsia" w:ascii="宋体" w:hAnsi="宋体"/>
                <w:b/>
                <w:bCs/>
                <w:color w:val="000000"/>
                <w:sz w:val="24"/>
              </w:rPr>
              <w:t>三、备注</w:t>
            </w:r>
          </w:p>
        </w:tc>
      </w:tr>
      <w:tr w14:paraId="7CBF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jc w:val="center"/>
        </w:trPr>
        <w:tc>
          <w:tcPr>
            <w:tcW w:w="8600" w:type="dxa"/>
            <w:gridSpan w:val="6"/>
            <w:noWrap w:val="0"/>
            <w:vAlign w:val="top"/>
          </w:tcPr>
          <w:p w14:paraId="5FDD8F8D">
            <w:pPr>
              <w:spacing w:line="400" w:lineRule="exact"/>
              <w:rPr>
                <w:rFonts w:hint="eastAsia" w:ascii="仿宋_GB2312" w:eastAsia="仿宋_GB2312"/>
                <w:color w:val="000000"/>
                <w:sz w:val="24"/>
              </w:rPr>
            </w:pPr>
            <w:r>
              <w:rPr>
                <w:rFonts w:hint="eastAsia" w:ascii="仿宋_GB2312" w:eastAsia="仿宋_GB2312"/>
                <w:color w:val="000000"/>
                <w:sz w:val="24"/>
              </w:rPr>
              <w:t>1.申请单位（个人）应准确提供工程基本信息。</w:t>
            </w:r>
          </w:p>
          <w:p w14:paraId="7903E3EE">
            <w:pPr>
              <w:spacing w:line="400" w:lineRule="exact"/>
              <w:rPr>
                <w:rFonts w:ascii="仿宋_GB2312" w:eastAsia="仿宋_GB2312"/>
                <w:color w:val="000000"/>
                <w:sz w:val="24"/>
              </w:rPr>
            </w:pPr>
            <w:r>
              <w:rPr>
                <w:rFonts w:hint="eastAsia" w:ascii="仿宋_GB2312" w:eastAsia="仿宋_GB2312"/>
                <w:color w:val="000000"/>
                <w:sz w:val="24"/>
              </w:rPr>
              <w:t>2.申请单位（个人）应如实提供相关资料，并承担由此引起的法律责任。</w:t>
            </w:r>
          </w:p>
          <w:p w14:paraId="3E9A757B">
            <w:pPr>
              <w:spacing w:line="400" w:lineRule="exact"/>
              <w:rPr>
                <w:rFonts w:ascii="仿宋_GB2312" w:eastAsia="仿宋_GB2312"/>
                <w:b/>
                <w:bCs/>
                <w:color w:val="000000"/>
                <w:sz w:val="32"/>
                <w:szCs w:val="32"/>
              </w:rPr>
            </w:pPr>
            <w:r>
              <w:rPr>
                <w:rFonts w:hint="eastAsia" w:ascii="仿宋_GB2312" w:eastAsia="仿宋_GB2312"/>
                <w:color w:val="000000"/>
                <w:sz w:val="24"/>
              </w:rPr>
              <w:t>3.本表一式两份，登记机构和办理人各留一份。</w:t>
            </w:r>
          </w:p>
        </w:tc>
      </w:tr>
    </w:tbl>
    <w:p w14:paraId="7249F0A5">
      <w:pPr>
        <w:sectPr>
          <w:pgSz w:w="11906" w:h="16838"/>
          <w:pgMar w:top="2098" w:right="1531" w:bottom="1984" w:left="1531" w:header="851" w:footer="992" w:gutter="0"/>
          <w:pgNumType w:fmt="decimal"/>
          <w:cols w:space="425" w:num="1"/>
          <w:docGrid w:type="lines" w:linePitch="312" w:charSpace="0"/>
        </w:sectPr>
      </w:pPr>
    </w:p>
    <w:p w14:paraId="3F4F51EE">
      <w:pPr>
        <w:spacing w:line="64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rPr>
        <w:t>附件3</w:t>
      </w:r>
    </w:p>
    <w:p w14:paraId="55A341F8">
      <w:pPr>
        <w:spacing w:line="480" w:lineRule="auto"/>
        <w:jc w:val="center"/>
        <w:rPr>
          <w:rFonts w:hint="eastAsia" w:ascii="黑体" w:hAnsi="黑体" w:eastAsia="黑体" w:cs="黑体"/>
          <w:color w:val="000000"/>
          <w:sz w:val="44"/>
          <w:szCs w:val="44"/>
        </w:rPr>
      </w:pPr>
      <w:r>
        <w:rPr>
          <w:rFonts w:hint="eastAsia" w:ascii="黑体" w:hAnsi="黑体" w:eastAsia="黑体" w:cs="黑体"/>
          <w:color w:val="000000"/>
          <w:sz w:val="44"/>
          <w:szCs w:val="44"/>
        </w:rPr>
        <w:t>限额以下工程施工安全检查记录表（参考用表）</w:t>
      </w:r>
    </w:p>
    <w:p w14:paraId="26AF1B01">
      <w:pPr>
        <w:spacing w:line="480" w:lineRule="auto"/>
        <w:rPr>
          <w:rFonts w:ascii="黑体" w:hAnsi="黑体" w:eastAsia="黑体" w:cs="黑体"/>
          <w:color w:val="000000"/>
          <w:sz w:val="24"/>
          <w:szCs w:val="32"/>
        </w:rPr>
      </w:pPr>
      <w:r>
        <w:rPr>
          <w:rFonts w:hint="eastAsia" w:ascii="黑体" w:hAnsi="黑体" w:eastAsia="黑体" w:cs="黑体"/>
          <w:color w:val="000000"/>
          <w:sz w:val="24"/>
          <w:szCs w:val="32"/>
        </w:rPr>
        <w:t>建设单位（个人）名称：                                 承建单位：</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4"/>
        <w:gridCol w:w="852"/>
        <w:gridCol w:w="7971"/>
        <w:gridCol w:w="730"/>
        <w:gridCol w:w="717"/>
        <w:gridCol w:w="1105"/>
        <w:gridCol w:w="2566"/>
      </w:tblGrid>
      <w:tr w14:paraId="15376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74" w:type="dxa"/>
            <w:vMerge w:val="restart"/>
            <w:noWrap w:val="0"/>
            <w:vAlign w:val="center"/>
          </w:tcPr>
          <w:p w14:paraId="78F16722">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序号</w:t>
            </w:r>
          </w:p>
        </w:tc>
        <w:tc>
          <w:tcPr>
            <w:tcW w:w="852" w:type="dxa"/>
            <w:vMerge w:val="restart"/>
            <w:noWrap w:val="0"/>
            <w:vAlign w:val="center"/>
          </w:tcPr>
          <w:p w14:paraId="3082D55C">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类别</w:t>
            </w:r>
          </w:p>
        </w:tc>
        <w:tc>
          <w:tcPr>
            <w:tcW w:w="7971" w:type="dxa"/>
            <w:vMerge w:val="restart"/>
            <w:noWrap w:val="0"/>
            <w:vAlign w:val="center"/>
          </w:tcPr>
          <w:p w14:paraId="022D8038">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检查内容</w:t>
            </w:r>
          </w:p>
        </w:tc>
        <w:tc>
          <w:tcPr>
            <w:tcW w:w="2552" w:type="dxa"/>
            <w:gridSpan w:val="3"/>
            <w:tcBorders>
              <w:right w:val="single" w:color="auto" w:sz="4" w:space="0"/>
            </w:tcBorders>
            <w:noWrap w:val="0"/>
            <w:vAlign w:val="center"/>
          </w:tcPr>
          <w:p w14:paraId="601713EB">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检查结果</w:t>
            </w:r>
          </w:p>
        </w:tc>
        <w:tc>
          <w:tcPr>
            <w:tcW w:w="2566" w:type="dxa"/>
            <w:vMerge w:val="restart"/>
            <w:tcBorders>
              <w:left w:val="single" w:color="auto" w:sz="4" w:space="0"/>
            </w:tcBorders>
            <w:noWrap w:val="0"/>
            <w:vAlign w:val="center"/>
          </w:tcPr>
          <w:p w14:paraId="1E570C74">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整改要求</w:t>
            </w:r>
          </w:p>
        </w:tc>
      </w:tr>
      <w:tr w14:paraId="6B08D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4" w:hRule="atLeast"/>
          <w:tblHeader/>
          <w:jc w:val="center"/>
        </w:trPr>
        <w:tc>
          <w:tcPr>
            <w:tcW w:w="674" w:type="dxa"/>
            <w:vMerge w:val="continue"/>
            <w:noWrap w:val="0"/>
            <w:vAlign w:val="top"/>
          </w:tcPr>
          <w:p w14:paraId="77446244">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黑体" w:hAnsi="黑体" w:eastAsia="黑体" w:cs="黑体"/>
                <w:color w:val="000000"/>
                <w:sz w:val="22"/>
              </w:rPr>
            </w:pPr>
          </w:p>
        </w:tc>
        <w:tc>
          <w:tcPr>
            <w:tcW w:w="852" w:type="dxa"/>
            <w:vMerge w:val="continue"/>
            <w:noWrap w:val="0"/>
            <w:vAlign w:val="top"/>
          </w:tcPr>
          <w:p w14:paraId="5CC42C51">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黑体" w:hAnsi="黑体" w:eastAsia="黑体" w:cs="黑体"/>
                <w:color w:val="000000"/>
                <w:sz w:val="22"/>
              </w:rPr>
            </w:pPr>
          </w:p>
        </w:tc>
        <w:tc>
          <w:tcPr>
            <w:tcW w:w="7971" w:type="dxa"/>
            <w:vMerge w:val="continue"/>
            <w:noWrap w:val="0"/>
            <w:vAlign w:val="top"/>
          </w:tcPr>
          <w:p w14:paraId="04F15115">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黑体" w:hAnsi="黑体" w:eastAsia="黑体" w:cs="黑体"/>
                <w:color w:val="000000"/>
                <w:sz w:val="22"/>
              </w:rPr>
            </w:pPr>
          </w:p>
        </w:tc>
        <w:tc>
          <w:tcPr>
            <w:tcW w:w="730" w:type="dxa"/>
            <w:noWrap w:val="0"/>
            <w:vAlign w:val="center"/>
          </w:tcPr>
          <w:p w14:paraId="3F3673D9">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符合</w:t>
            </w:r>
          </w:p>
        </w:tc>
        <w:tc>
          <w:tcPr>
            <w:tcW w:w="717" w:type="dxa"/>
            <w:noWrap w:val="0"/>
            <w:vAlign w:val="center"/>
          </w:tcPr>
          <w:p w14:paraId="3442C306">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基本</w:t>
            </w:r>
          </w:p>
          <w:p w14:paraId="12743F23">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符合</w:t>
            </w:r>
          </w:p>
        </w:tc>
        <w:tc>
          <w:tcPr>
            <w:tcW w:w="1105" w:type="dxa"/>
            <w:tcBorders>
              <w:right w:val="single" w:color="auto" w:sz="4" w:space="0"/>
            </w:tcBorders>
            <w:noWrap w:val="0"/>
            <w:vAlign w:val="center"/>
          </w:tcPr>
          <w:p w14:paraId="112FBCC2">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不符合</w:t>
            </w:r>
          </w:p>
        </w:tc>
        <w:tc>
          <w:tcPr>
            <w:tcW w:w="2566" w:type="dxa"/>
            <w:vMerge w:val="continue"/>
            <w:tcBorders>
              <w:left w:val="single" w:color="auto" w:sz="4" w:space="0"/>
            </w:tcBorders>
            <w:noWrap w:val="0"/>
            <w:vAlign w:val="center"/>
          </w:tcPr>
          <w:p w14:paraId="111369E7">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黑体" w:hAnsi="黑体" w:eastAsia="黑体" w:cs="黑体"/>
                <w:color w:val="000000"/>
                <w:sz w:val="22"/>
              </w:rPr>
            </w:pPr>
          </w:p>
        </w:tc>
      </w:tr>
      <w:tr w14:paraId="7EC8A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74" w:type="dxa"/>
            <w:vMerge w:val="restart"/>
            <w:noWrap w:val="0"/>
            <w:vAlign w:val="center"/>
          </w:tcPr>
          <w:p w14:paraId="0F6B3A63">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1</w:t>
            </w:r>
          </w:p>
        </w:tc>
        <w:tc>
          <w:tcPr>
            <w:tcW w:w="852" w:type="dxa"/>
            <w:vMerge w:val="restart"/>
            <w:noWrap w:val="0"/>
            <w:vAlign w:val="center"/>
          </w:tcPr>
          <w:p w14:paraId="6376C54D">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施工准备</w:t>
            </w:r>
          </w:p>
        </w:tc>
        <w:tc>
          <w:tcPr>
            <w:tcW w:w="7971" w:type="dxa"/>
            <w:noWrap w:val="0"/>
            <w:vAlign w:val="center"/>
          </w:tcPr>
          <w:p w14:paraId="15413599">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是否进行施工登记</w:t>
            </w:r>
            <w:r>
              <w:rPr>
                <w:rFonts w:hint="eastAsia" w:ascii="仿宋_GB2312" w:eastAsia="仿宋_GB2312"/>
                <w:color w:val="000000"/>
                <w:sz w:val="24"/>
                <w:lang w:eastAsia="zh-CN"/>
              </w:rPr>
              <w:t>。</w:t>
            </w:r>
          </w:p>
        </w:tc>
        <w:tc>
          <w:tcPr>
            <w:tcW w:w="730" w:type="dxa"/>
            <w:noWrap w:val="0"/>
            <w:vAlign w:val="center"/>
          </w:tcPr>
          <w:p w14:paraId="1EF49D90">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57A3D74D">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2AD3615D">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4C0FD8A1">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r w14:paraId="0CB73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blHeader/>
          <w:jc w:val="center"/>
        </w:trPr>
        <w:tc>
          <w:tcPr>
            <w:tcW w:w="674" w:type="dxa"/>
            <w:vMerge w:val="continue"/>
            <w:noWrap w:val="0"/>
            <w:vAlign w:val="center"/>
          </w:tcPr>
          <w:p w14:paraId="0C9CA878">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p>
        </w:tc>
        <w:tc>
          <w:tcPr>
            <w:tcW w:w="852" w:type="dxa"/>
            <w:vMerge w:val="continue"/>
            <w:noWrap w:val="0"/>
            <w:vAlign w:val="center"/>
          </w:tcPr>
          <w:p w14:paraId="0E5612B6">
            <w:pPr>
              <w:pStyle w:val="8"/>
              <w:keepNext w:val="0"/>
              <w:keepLines w:val="0"/>
              <w:pageBreakBefore w:val="0"/>
              <w:kinsoku/>
              <w:wordWrap/>
              <w:overflowPunct/>
              <w:topLinePunct w:val="0"/>
              <w:autoSpaceDE/>
              <w:autoSpaceDN/>
              <w:bidi w:val="0"/>
              <w:adjustRightInd w:val="0"/>
              <w:snapToGrid w:val="0"/>
              <w:spacing w:line="280" w:lineRule="exact"/>
              <w:ind w:left="360" w:firstLine="482"/>
              <w:jc w:val="center"/>
              <w:textAlignment w:val="auto"/>
              <w:rPr>
                <w:rFonts w:ascii="宋体" w:hAnsi="宋体"/>
                <w:b/>
                <w:bCs/>
                <w:color w:val="000000"/>
                <w:sz w:val="24"/>
                <w:szCs w:val="24"/>
              </w:rPr>
            </w:pPr>
          </w:p>
        </w:tc>
        <w:tc>
          <w:tcPr>
            <w:tcW w:w="7971" w:type="dxa"/>
            <w:noWrap w:val="0"/>
            <w:vAlign w:val="center"/>
          </w:tcPr>
          <w:p w14:paraId="2B7B002D">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选用有技术、机械、经验素质好且有资质的建筑企业</w:t>
            </w:r>
            <w:r>
              <w:rPr>
                <w:rFonts w:hint="eastAsia" w:ascii="仿宋_GB2312" w:eastAsia="仿宋_GB2312"/>
                <w:color w:val="000000"/>
                <w:sz w:val="24"/>
                <w:lang w:eastAsia="zh-CN"/>
              </w:rPr>
              <w:t>。</w:t>
            </w:r>
          </w:p>
        </w:tc>
        <w:tc>
          <w:tcPr>
            <w:tcW w:w="730" w:type="dxa"/>
            <w:noWrap w:val="0"/>
            <w:vAlign w:val="center"/>
          </w:tcPr>
          <w:p w14:paraId="0C7652E9">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2027BBF6">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5EA39F69">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425900E6">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r w14:paraId="744CA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74" w:type="dxa"/>
            <w:vMerge w:val="continue"/>
            <w:noWrap w:val="0"/>
            <w:vAlign w:val="center"/>
          </w:tcPr>
          <w:p w14:paraId="62778BF6">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p>
        </w:tc>
        <w:tc>
          <w:tcPr>
            <w:tcW w:w="852" w:type="dxa"/>
            <w:vMerge w:val="continue"/>
            <w:noWrap w:val="0"/>
            <w:vAlign w:val="center"/>
          </w:tcPr>
          <w:p w14:paraId="7EA05532">
            <w:pPr>
              <w:pStyle w:val="8"/>
              <w:keepNext w:val="0"/>
              <w:keepLines w:val="0"/>
              <w:pageBreakBefore w:val="0"/>
              <w:kinsoku/>
              <w:wordWrap/>
              <w:overflowPunct/>
              <w:topLinePunct w:val="0"/>
              <w:autoSpaceDE/>
              <w:autoSpaceDN/>
              <w:bidi w:val="0"/>
              <w:adjustRightInd w:val="0"/>
              <w:snapToGrid w:val="0"/>
              <w:spacing w:line="280" w:lineRule="exact"/>
              <w:ind w:left="360" w:firstLine="482"/>
              <w:jc w:val="center"/>
              <w:textAlignment w:val="auto"/>
              <w:rPr>
                <w:rFonts w:ascii="宋体" w:hAnsi="宋体"/>
                <w:b/>
                <w:bCs/>
                <w:color w:val="000000"/>
                <w:sz w:val="24"/>
                <w:szCs w:val="24"/>
              </w:rPr>
            </w:pPr>
          </w:p>
        </w:tc>
        <w:tc>
          <w:tcPr>
            <w:tcW w:w="7971" w:type="dxa"/>
            <w:noWrap w:val="0"/>
            <w:vAlign w:val="center"/>
          </w:tcPr>
          <w:p w14:paraId="7EAAD208">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签订承包建设合同，明确具体的施工安全要求条款、安全责任、工程质量、保修期限等</w:t>
            </w:r>
            <w:r>
              <w:rPr>
                <w:rFonts w:hint="eastAsia" w:ascii="仿宋_GB2312" w:eastAsia="仿宋_GB2312"/>
                <w:color w:val="000000"/>
                <w:sz w:val="24"/>
                <w:lang w:eastAsia="zh-CN"/>
              </w:rPr>
              <w:t>。</w:t>
            </w:r>
          </w:p>
        </w:tc>
        <w:tc>
          <w:tcPr>
            <w:tcW w:w="730" w:type="dxa"/>
            <w:noWrap w:val="0"/>
            <w:vAlign w:val="center"/>
          </w:tcPr>
          <w:p w14:paraId="143BEEB0">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3568261F">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745EB6DD">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13C348C0">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r w14:paraId="26431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74" w:type="dxa"/>
            <w:vMerge w:val="continue"/>
            <w:noWrap w:val="0"/>
            <w:vAlign w:val="center"/>
          </w:tcPr>
          <w:p w14:paraId="2D4CC1F1">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p>
        </w:tc>
        <w:tc>
          <w:tcPr>
            <w:tcW w:w="852" w:type="dxa"/>
            <w:vMerge w:val="continue"/>
            <w:noWrap w:val="0"/>
            <w:vAlign w:val="center"/>
          </w:tcPr>
          <w:p w14:paraId="28D08401">
            <w:pPr>
              <w:pStyle w:val="8"/>
              <w:keepNext w:val="0"/>
              <w:keepLines w:val="0"/>
              <w:pageBreakBefore w:val="0"/>
              <w:kinsoku/>
              <w:wordWrap/>
              <w:overflowPunct/>
              <w:topLinePunct w:val="0"/>
              <w:autoSpaceDE/>
              <w:autoSpaceDN/>
              <w:bidi w:val="0"/>
              <w:adjustRightInd w:val="0"/>
              <w:snapToGrid w:val="0"/>
              <w:spacing w:line="280" w:lineRule="exact"/>
              <w:ind w:left="360" w:firstLine="482"/>
              <w:jc w:val="center"/>
              <w:textAlignment w:val="auto"/>
              <w:rPr>
                <w:rFonts w:ascii="宋体" w:hAnsi="宋体"/>
                <w:b/>
                <w:bCs/>
                <w:color w:val="000000"/>
                <w:sz w:val="24"/>
                <w:szCs w:val="24"/>
              </w:rPr>
            </w:pPr>
          </w:p>
        </w:tc>
        <w:tc>
          <w:tcPr>
            <w:tcW w:w="7971" w:type="dxa"/>
            <w:noWrap w:val="0"/>
            <w:vAlign w:val="center"/>
          </w:tcPr>
          <w:p w14:paraId="407C7CCC">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占道施工作业是否办理影响交通安全的占道施工许可手续</w:t>
            </w:r>
            <w:r>
              <w:rPr>
                <w:rFonts w:hint="eastAsia" w:ascii="仿宋_GB2312" w:eastAsia="仿宋_GB2312"/>
                <w:color w:val="000000"/>
                <w:sz w:val="24"/>
                <w:lang w:eastAsia="zh-CN"/>
              </w:rPr>
              <w:t>。</w:t>
            </w:r>
          </w:p>
        </w:tc>
        <w:tc>
          <w:tcPr>
            <w:tcW w:w="730" w:type="dxa"/>
            <w:noWrap w:val="0"/>
            <w:vAlign w:val="center"/>
          </w:tcPr>
          <w:p w14:paraId="750B9BA2">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69AE7A69">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60CDD5D8">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0CE98DA9">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r w14:paraId="56ABF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74" w:type="dxa"/>
            <w:vMerge w:val="continue"/>
            <w:noWrap w:val="0"/>
            <w:vAlign w:val="center"/>
          </w:tcPr>
          <w:p w14:paraId="2D2C35AC">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p>
        </w:tc>
        <w:tc>
          <w:tcPr>
            <w:tcW w:w="852" w:type="dxa"/>
            <w:vMerge w:val="continue"/>
            <w:noWrap w:val="0"/>
            <w:vAlign w:val="center"/>
          </w:tcPr>
          <w:p w14:paraId="64A49F7A">
            <w:pPr>
              <w:pStyle w:val="8"/>
              <w:keepNext w:val="0"/>
              <w:keepLines w:val="0"/>
              <w:pageBreakBefore w:val="0"/>
              <w:kinsoku/>
              <w:wordWrap/>
              <w:overflowPunct/>
              <w:topLinePunct w:val="0"/>
              <w:autoSpaceDE/>
              <w:autoSpaceDN/>
              <w:bidi w:val="0"/>
              <w:adjustRightInd w:val="0"/>
              <w:snapToGrid w:val="0"/>
              <w:spacing w:line="280" w:lineRule="exact"/>
              <w:ind w:left="360" w:firstLine="482"/>
              <w:jc w:val="center"/>
              <w:textAlignment w:val="auto"/>
              <w:rPr>
                <w:rFonts w:ascii="宋体" w:hAnsi="宋体"/>
                <w:b/>
                <w:bCs/>
                <w:color w:val="000000"/>
                <w:sz w:val="24"/>
                <w:szCs w:val="24"/>
              </w:rPr>
            </w:pPr>
          </w:p>
        </w:tc>
        <w:tc>
          <w:tcPr>
            <w:tcW w:w="7971" w:type="dxa"/>
            <w:noWrap w:val="0"/>
            <w:vAlign w:val="center"/>
          </w:tcPr>
          <w:p w14:paraId="2344D32D">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挖掘工程开工前应开展地下管线调查，清楚施工区域地下管线情况，与地下管线权属单位进行对接配合</w:t>
            </w:r>
            <w:r>
              <w:rPr>
                <w:rFonts w:hint="eastAsia" w:ascii="仿宋_GB2312" w:eastAsia="仿宋_GB2312"/>
                <w:color w:val="000000"/>
                <w:sz w:val="24"/>
                <w:lang w:eastAsia="zh-CN"/>
              </w:rPr>
              <w:t>，</w:t>
            </w:r>
            <w:r>
              <w:rPr>
                <w:rFonts w:hint="eastAsia" w:ascii="仿宋_GB2312" w:eastAsia="仿宋_GB2312"/>
                <w:color w:val="000000"/>
                <w:sz w:val="24"/>
              </w:rPr>
              <w:t>挖掘施工单位应制定地下管线保护方案，落实保护措施。</w:t>
            </w:r>
          </w:p>
        </w:tc>
        <w:tc>
          <w:tcPr>
            <w:tcW w:w="730" w:type="dxa"/>
            <w:noWrap w:val="0"/>
            <w:vAlign w:val="center"/>
          </w:tcPr>
          <w:p w14:paraId="48C2E604">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28F4B91F">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4F1D6DC4">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024E9F7C">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r w14:paraId="4D1CC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9" w:hRule="atLeast"/>
          <w:tblHeader/>
          <w:jc w:val="center"/>
        </w:trPr>
        <w:tc>
          <w:tcPr>
            <w:tcW w:w="674" w:type="dxa"/>
            <w:vMerge w:val="restart"/>
            <w:noWrap w:val="0"/>
            <w:vAlign w:val="center"/>
          </w:tcPr>
          <w:p w14:paraId="2E8268A9">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2</w:t>
            </w:r>
          </w:p>
        </w:tc>
        <w:tc>
          <w:tcPr>
            <w:tcW w:w="852" w:type="dxa"/>
            <w:vMerge w:val="restart"/>
            <w:noWrap w:val="0"/>
            <w:vAlign w:val="center"/>
          </w:tcPr>
          <w:p w14:paraId="2D583CA6">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r>
              <w:rPr>
                <w:rFonts w:hint="eastAsia" w:ascii="宋体" w:hAnsi="宋体"/>
                <w:b/>
                <w:bCs/>
                <w:color w:val="000000"/>
                <w:sz w:val="24"/>
              </w:rPr>
              <w:t>人员管理</w:t>
            </w:r>
          </w:p>
        </w:tc>
        <w:tc>
          <w:tcPr>
            <w:tcW w:w="7971" w:type="dxa"/>
            <w:noWrap w:val="0"/>
            <w:vAlign w:val="center"/>
          </w:tcPr>
          <w:p w14:paraId="236D676F">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施工负责人在场并与开工建设信息录入一致</w:t>
            </w:r>
            <w:r>
              <w:rPr>
                <w:rFonts w:hint="eastAsia" w:ascii="仿宋_GB2312" w:eastAsia="仿宋_GB2312"/>
                <w:color w:val="000000"/>
                <w:sz w:val="24"/>
                <w:lang w:eastAsia="zh-CN"/>
              </w:rPr>
              <w:t>。</w:t>
            </w:r>
          </w:p>
        </w:tc>
        <w:tc>
          <w:tcPr>
            <w:tcW w:w="730" w:type="dxa"/>
            <w:noWrap w:val="0"/>
            <w:vAlign w:val="center"/>
          </w:tcPr>
          <w:p w14:paraId="6BEB1290">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61CD8333">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3EF7A80B">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7A9D000A">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r w14:paraId="64707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blHeader/>
          <w:jc w:val="center"/>
        </w:trPr>
        <w:tc>
          <w:tcPr>
            <w:tcW w:w="674" w:type="dxa"/>
            <w:vMerge w:val="continue"/>
            <w:noWrap w:val="0"/>
            <w:vAlign w:val="center"/>
          </w:tcPr>
          <w:p w14:paraId="77536B51">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p>
        </w:tc>
        <w:tc>
          <w:tcPr>
            <w:tcW w:w="852" w:type="dxa"/>
            <w:vMerge w:val="continue"/>
            <w:noWrap w:val="0"/>
            <w:vAlign w:val="center"/>
          </w:tcPr>
          <w:p w14:paraId="05810F39">
            <w:pPr>
              <w:pStyle w:val="8"/>
              <w:keepNext w:val="0"/>
              <w:keepLines w:val="0"/>
              <w:pageBreakBefore w:val="0"/>
              <w:kinsoku/>
              <w:wordWrap/>
              <w:overflowPunct/>
              <w:topLinePunct w:val="0"/>
              <w:autoSpaceDE/>
              <w:autoSpaceDN/>
              <w:bidi w:val="0"/>
              <w:adjustRightInd w:val="0"/>
              <w:snapToGrid w:val="0"/>
              <w:spacing w:line="280" w:lineRule="exact"/>
              <w:ind w:left="360" w:firstLine="482"/>
              <w:jc w:val="center"/>
              <w:textAlignment w:val="auto"/>
              <w:rPr>
                <w:rFonts w:ascii="宋体" w:hAnsi="宋体"/>
                <w:b/>
                <w:bCs/>
                <w:color w:val="000000"/>
                <w:sz w:val="24"/>
                <w:szCs w:val="24"/>
              </w:rPr>
            </w:pPr>
          </w:p>
        </w:tc>
        <w:tc>
          <w:tcPr>
            <w:tcW w:w="7971" w:type="dxa"/>
            <w:noWrap w:val="0"/>
            <w:vAlign w:val="center"/>
          </w:tcPr>
          <w:p w14:paraId="2C7AFC22">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电焊、气焊、电工、架子工等特种作业人员取得建设行政主管部门颁发的操作资格证</w:t>
            </w:r>
            <w:r>
              <w:rPr>
                <w:rFonts w:hint="eastAsia" w:ascii="仿宋_GB2312" w:eastAsia="仿宋_GB2312"/>
                <w:color w:val="000000"/>
                <w:sz w:val="24"/>
                <w:lang w:eastAsia="zh-CN"/>
              </w:rPr>
              <w:t>。</w:t>
            </w:r>
          </w:p>
        </w:tc>
        <w:tc>
          <w:tcPr>
            <w:tcW w:w="730" w:type="dxa"/>
            <w:noWrap w:val="0"/>
            <w:vAlign w:val="center"/>
          </w:tcPr>
          <w:p w14:paraId="16318653">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25A4ECFF">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30D90B55">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70C2238A">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r w14:paraId="2C278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1" w:hRule="atLeast"/>
          <w:tblHeader/>
          <w:jc w:val="center"/>
        </w:trPr>
        <w:tc>
          <w:tcPr>
            <w:tcW w:w="674" w:type="dxa"/>
            <w:vMerge w:val="continue"/>
            <w:noWrap w:val="0"/>
            <w:vAlign w:val="center"/>
          </w:tcPr>
          <w:p w14:paraId="7DF620F2">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p>
        </w:tc>
        <w:tc>
          <w:tcPr>
            <w:tcW w:w="852" w:type="dxa"/>
            <w:vMerge w:val="continue"/>
            <w:noWrap w:val="0"/>
            <w:vAlign w:val="center"/>
          </w:tcPr>
          <w:p w14:paraId="69EF96C3">
            <w:pPr>
              <w:pStyle w:val="8"/>
              <w:keepNext w:val="0"/>
              <w:keepLines w:val="0"/>
              <w:pageBreakBefore w:val="0"/>
              <w:kinsoku/>
              <w:wordWrap/>
              <w:overflowPunct/>
              <w:topLinePunct w:val="0"/>
              <w:autoSpaceDE/>
              <w:autoSpaceDN/>
              <w:bidi w:val="0"/>
              <w:adjustRightInd w:val="0"/>
              <w:snapToGrid w:val="0"/>
              <w:spacing w:line="280" w:lineRule="exact"/>
              <w:ind w:left="360" w:firstLine="482"/>
              <w:jc w:val="center"/>
              <w:textAlignment w:val="auto"/>
              <w:rPr>
                <w:rFonts w:ascii="宋体" w:hAnsi="宋体"/>
                <w:b/>
                <w:bCs/>
                <w:color w:val="000000"/>
                <w:sz w:val="24"/>
                <w:szCs w:val="24"/>
              </w:rPr>
            </w:pPr>
          </w:p>
        </w:tc>
        <w:tc>
          <w:tcPr>
            <w:tcW w:w="7971" w:type="dxa"/>
            <w:noWrap w:val="0"/>
            <w:vAlign w:val="center"/>
          </w:tcPr>
          <w:p w14:paraId="3F2EF34C">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作业人员是否经过安全教育培训</w:t>
            </w:r>
            <w:r>
              <w:rPr>
                <w:rFonts w:hint="eastAsia" w:ascii="仿宋_GB2312" w:eastAsia="仿宋_GB2312"/>
                <w:color w:val="000000"/>
                <w:sz w:val="24"/>
                <w:lang w:eastAsia="zh-CN"/>
              </w:rPr>
              <w:t>。</w:t>
            </w:r>
          </w:p>
        </w:tc>
        <w:tc>
          <w:tcPr>
            <w:tcW w:w="730" w:type="dxa"/>
            <w:noWrap w:val="0"/>
            <w:vAlign w:val="center"/>
          </w:tcPr>
          <w:p w14:paraId="09C6719F">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684FAD2C">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33DF03A4">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2062CCC2">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r w14:paraId="09CE5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tblHeader/>
          <w:jc w:val="center"/>
        </w:trPr>
        <w:tc>
          <w:tcPr>
            <w:tcW w:w="674" w:type="dxa"/>
            <w:vMerge w:val="continue"/>
            <w:noWrap w:val="0"/>
            <w:vAlign w:val="center"/>
          </w:tcPr>
          <w:p w14:paraId="05217B97">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p>
        </w:tc>
        <w:tc>
          <w:tcPr>
            <w:tcW w:w="852" w:type="dxa"/>
            <w:vMerge w:val="continue"/>
            <w:noWrap w:val="0"/>
            <w:vAlign w:val="center"/>
          </w:tcPr>
          <w:p w14:paraId="2F59A217">
            <w:pPr>
              <w:pStyle w:val="8"/>
              <w:keepNext w:val="0"/>
              <w:keepLines w:val="0"/>
              <w:pageBreakBefore w:val="0"/>
              <w:kinsoku/>
              <w:wordWrap/>
              <w:overflowPunct/>
              <w:topLinePunct w:val="0"/>
              <w:autoSpaceDE/>
              <w:autoSpaceDN/>
              <w:bidi w:val="0"/>
              <w:adjustRightInd w:val="0"/>
              <w:snapToGrid w:val="0"/>
              <w:spacing w:line="280" w:lineRule="exact"/>
              <w:ind w:left="360" w:firstLine="482"/>
              <w:jc w:val="center"/>
              <w:textAlignment w:val="auto"/>
              <w:rPr>
                <w:rFonts w:ascii="宋体" w:hAnsi="宋体"/>
                <w:b/>
                <w:bCs/>
                <w:color w:val="000000"/>
                <w:sz w:val="24"/>
                <w:szCs w:val="24"/>
              </w:rPr>
            </w:pPr>
          </w:p>
        </w:tc>
        <w:tc>
          <w:tcPr>
            <w:tcW w:w="7971" w:type="dxa"/>
            <w:noWrap w:val="0"/>
            <w:vAlign w:val="center"/>
          </w:tcPr>
          <w:p w14:paraId="25EA1AEB">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无盲目指挥、违规作业、突击抢建行为</w:t>
            </w:r>
            <w:r>
              <w:rPr>
                <w:rFonts w:hint="eastAsia" w:ascii="仿宋_GB2312" w:eastAsia="仿宋_GB2312"/>
                <w:color w:val="000000"/>
                <w:sz w:val="24"/>
                <w:lang w:eastAsia="zh-CN"/>
              </w:rPr>
              <w:t>。</w:t>
            </w:r>
          </w:p>
        </w:tc>
        <w:tc>
          <w:tcPr>
            <w:tcW w:w="730" w:type="dxa"/>
            <w:noWrap w:val="0"/>
            <w:vAlign w:val="center"/>
          </w:tcPr>
          <w:p w14:paraId="6E0AF0DE">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7ECB0D93">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54C09947">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2CE3F19B">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r w14:paraId="0459A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2" w:hRule="atLeast"/>
          <w:tblHeader/>
          <w:jc w:val="center"/>
        </w:trPr>
        <w:tc>
          <w:tcPr>
            <w:tcW w:w="674" w:type="dxa"/>
            <w:vMerge w:val="continue"/>
            <w:noWrap w:val="0"/>
            <w:vAlign w:val="center"/>
          </w:tcPr>
          <w:p w14:paraId="5CFAEFE8">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宋体" w:hAnsi="宋体"/>
                <w:b/>
                <w:bCs/>
                <w:color w:val="000000"/>
                <w:sz w:val="24"/>
              </w:rPr>
            </w:pPr>
          </w:p>
        </w:tc>
        <w:tc>
          <w:tcPr>
            <w:tcW w:w="852" w:type="dxa"/>
            <w:vMerge w:val="continue"/>
            <w:noWrap w:val="0"/>
            <w:vAlign w:val="center"/>
          </w:tcPr>
          <w:p w14:paraId="2B1C218E">
            <w:pPr>
              <w:pStyle w:val="8"/>
              <w:keepNext w:val="0"/>
              <w:keepLines w:val="0"/>
              <w:pageBreakBefore w:val="0"/>
              <w:kinsoku/>
              <w:wordWrap/>
              <w:overflowPunct/>
              <w:topLinePunct w:val="0"/>
              <w:autoSpaceDE/>
              <w:autoSpaceDN/>
              <w:bidi w:val="0"/>
              <w:adjustRightInd w:val="0"/>
              <w:snapToGrid w:val="0"/>
              <w:spacing w:line="280" w:lineRule="exact"/>
              <w:ind w:left="360" w:firstLine="482"/>
              <w:jc w:val="center"/>
              <w:textAlignment w:val="auto"/>
              <w:rPr>
                <w:rFonts w:ascii="宋体" w:hAnsi="宋体"/>
                <w:b/>
                <w:bCs/>
                <w:color w:val="000000"/>
                <w:sz w:val="24"/>
                <w:szCs w:val="24"/>
              </w:rPr>
            </w:pPr>
          </w:p>
        </w:tc>
        <w:tc>
          <w:tcPr>
            <w:tcW w:w="7971" w:type="dxa"/>
            <w:noWrap w:val="0"/>
            <w:vAlign w:val="center"/>
          </w:tcPr>
          <w:p w14:paraId="3DBDA319">
            <w:pPr>
              <w:keepNext w:val="0"/>
              <w:keepLines w:val="0"/>
              <w:pageBreakBefore w:val="0"/>
              <w:kinsoku/>
              <w:wordWrap/>
              <w:overflowPunct/>
              <w:topLinePunct w:val="0"/>
              <w:autoSpaceDE/>
              <w:autoSpaceDN/>
              <w:bidi w:val="0"/>
              <w:spacing w:line="280" w:lineRule="exact"/>
              <w:textAlignment w:val="auto"/>
              <w:rPr>
                <w:rFonts w:hint="eastAsia" w:ascii="仿宋_GB2312" w:eastAsia="仿宋_GB2312"/>
                <w:color w:val="000000"/>
                <w:sz w:val="24"/>
                <w:lang w:eastAsia="zh-CN"/>
              </w:rPr>
            </w:pPr>
            <w:r>
              <w:rPr>
                <w:rFonts w:hint="eastAsia" w:ascii="仿宋_GB2312" w:eastAsia="仿宋_GB2312"/>
                <w:color w:val="000000"/>
                <w:sz w:val="24"/>
              </w:rPr>
              <w:t>向施工人员提供合格劳保用品；施工人员正确使用安全帽、劳保鞋、安全带等劳保用品</w:t>
            </w:r>
            <w:r>
              <w:rPr>
                <w:rFonts w:hint="eastAsia" w:ascii="仿宋_GB2312" w:eastAsia="仿宋_GB2312"/>
                <w:color w:val="000000"/>
                <w:sz w:val="24"/>
                <w:lang w:eastAsia="zh-CN"/>
              </w:rPr>
              <w:t>。</w:t>
            </w:r>
          </w:p>
        </w:tc>
        <w:tc>
          <w:tcPr>
            <w:tcW w:w="730" w:type="dxa"/>
            <w:noWrap w:val="0"/>
            <w:vAlign w:val="center"/>
          </w:tcPr>
          <w:p w14:paraId="3592E054">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717" w:type="dxa"/>
            <w:noWrap w:val="0"/>
            <w:vAlign w:val="center"/>
          </w:tcPr>
          <w:p w14:paraId="0785D595">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1105" w:type="dxa"/>
            <w:noWrap w:val="0"/>
            <w:vAlign w:val="center"/>
          </w:tcPr>
          <w:p w14:paraId="7A1908CF">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c>
          <w:tcPr>
            <w:tcW w:w="2566" w:type="dxa"/>
            <w:noWrap w:val="0"/>
            <w:vAlign w:val="center"/>
          </w:tcPr>
          <w:p w14:paraId="0A88B5FC">
            <w:pPr>
              <w:keepNext w:val="0"/>
              <w:keepLines w:val="0"/>
              <w:pageBreakBefore w:val="0"/>
              <w:kinsoku/>
              <w:wordWrap/>
              <w:overflowPunct/>
              <w:topLinePunct w:val="0"/>
              <w:autoSpaceDE/>
              <w:autoSpaceDN/>
              <w:bidi w:val="0"/>
              <w:adjustRightInd w:val="0"/>
              <w:snapToGrid w:val="0"/>
              <w:spacing w:line="280" w:lineRule="exact"/>
              <w:jc w:val="left"/>
              <w:textAlignment w:val="auto"/>
              <w:rPr>
                <w:rFonts w:ascii="黑体" w:hAnsi="黑体" w:eastAsia="黑体" w:cs="黑体"/>
                <w:color w:val="000000"/>
                <w:sz w:val="22"/>
              </w:rPr>
            </w:pPr>
          </w:p>
        </w:tc>
      </w:tr>
    </w:tbl>
    <w:p w14:paraId="440B40E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6838" w:h="11906" w:orient="landscape"/>
      <w:pgMar w:top="1531" w:right="2098" w:bottom="1531"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4D5B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8CAD14">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8CAD14">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437BC">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E3A80"/>
    <w:multiLevelType w:val="singleLevel"/>
    <w:tmpl w:val="F7FE3A8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3144"/>
    <w:rsid w:val="007A6F63"/>
    <w:rsid w:val="00816543"/>
    <w:rsid w:val="00847DE1"/>
    <w:rsid w:val="008E094D"/>
    <w:rsid w:val="00A566D5"/>
    <w:rsid w:val="00B22BA0"/>
    <w:rsid w:val="00CB3C62"/>
    <w:rsid w:val="01390BCC"/>
    <w:rsid w:val="01875DDB"/>
    <w:rsid w:val="01E70628"/>
    <w:rsid w:val="020C008E"/>
    <w:rsid w:val="021C29C7"/>
    <w:rsid w:val="025657AD"/>
    <w:rsid w:val="0269071E"/>
    <w:rsid w:val="027D7BE3"/>
    <w:rsid w:val="02AB78A7"/>
    <w:rsid w:val="02C72207"/>
    <w:rsid w:val="036E30C9"/>
    <w:rsid w:val="0381685A"/>
    <w:rsid w:val="039A7E97"/>
    <w:rsid w:val="039E565E"/>
    <w:rsid w:val="039F5964"/>
    <w:rsid w:val="03AD6745"/>
    <w:rsid w:val="03B86720"/>
    <w:rsid w:val="03C926DB"/>
    <w:rsid w:val="03FE40AA"/>
    <w:rsid w:val="041E0E19"/>
    <w:rsid w:val="04310280"/>
    <w:rsid w:val="04375663"/>
    <w:rsid w:val="04640655"/>
    <w:rsid w:val="046E14E4"/>
    <w:rsid w:val="048E122E"/>
    <w:rsid w:val="04B74C29"/>
    <w:rsid w:val="04F02772"/>
    <w:rsid w:val="04F73278"/>
    <w:rsid w:val="05221275"/>
    <w:rsid w:val="0536421B"/>
    <w:rsid w:val="055165CD"/>
    <w:rsid w:val="055E6E53"/>
    <w:rsid w:val="05926AFC"/>
    <w:rsid w:val="05E94B07"/>
    <w:rsid w:val="05FB0B46"/>
    <w:rsid w:val="062815F7"/>
    <w:rsid w:val="062B30C6"/>
    <w:rsid w:val="064854E3"/>
    <w:rsid w:val="06520D63"/>
    <w:rsid w:val="06856661"/>
    <w:rsid w:val="06A442D7"/>
    <w:rsid w:val="06AB256C"/>
    <w:rsid w:val="070457D8"/>
    <w:rsid w:val="075A189C"/>
    <w:rsid w:val="07A07BF6"/>
    <w:rsid w:val="07A174CB"/>
    <w:rsid w:val="07EC6998"/>
    <w:rsid w:val="07F36615"/>
    <w:rsid w:val="081B102B"/>
    <w:rsid w:val="08564759"/>
    <w:rsid w:val="087A0447"/>
    <w:rsid w:val="08A544D1"/>
    <w:rsid w:val="08DA2C94"/>
    <w:rsid w:val="090038F0"/>
    <w:rsid w:val="09694018"/>
    <w:rsid w:val="096F639D"/>
    <w:rsid w:val="09976DD7"/>
    <w:rsid w:val="09C13E54"/>
    <w:rsid w:val="09EE3789"/>
    <w:rsid w:val="0A530F50"/>
    <w:rsid w:val="0A9F23E7"/>
    <w:rsid w:val="0AAB0D8C"/>
    <w:rsid w:val="0AE26FC9"/>
    <w:rsid w:val="0AFD2C6A"/>
    <w:rsid w:val="0B375A73"/>
    <w:rsid w:val="0B3A2110"/>
    <w:rsid w:val="0B6158EF"/>
    <w:rsid w:val="0B9730BE"/>
    <w:rsid w:val="0BA62AEF"/>
    <w:rsid w:val="0BC47C2C"/>
    <w:rsid w:val="0BE502CE"/>
    <w:rsid w:val="0BF95B27"/>
    <w:rsid w:val="0C091D20"/>
    <w:rsid w:val="0C1607C9"/>
    <w:rsid w:val="0C547201"/>
    <w:rsid w:val="0CB40BFD"/>
    <w:rsid w:val="0CE00A95"/>
    <w:rsid w:val="0D0B3D64"/>
    <w:rsid w:val="0D115FA7"/>
    <w:rsid w:val="0D71349C"/>
    <w:rsid w:val="0D71793F"/>
    <w:rsid w:val="0D8853B5"/>
    <w:rsid w:val="0D933D59"/>
    <w:rsid w:val="0DA90E87"/>
    <w:rsid w:val="0DB02216"/>
    <w:rsid w:val="0DBC0BBA"/>
    <w:rsid w:val="0E1409F6"/>
    <w:rsid w:val="0E342E47"/>
    <w:rsid w:val="0E4017EB"/>
    <w:rsid w:val="0E682AF0"/>
    <w:rsid w:val="0E8F62CF"/>
    <w:rsid w:val="0EB36461"/>
    <w:rsid w:val="0ED14B39"/>
    <w:rsid w:val="0F032819"/>
    <w:rsid w:val="0F470958"/>
    <w:rsid w:val="0F98542E"/>
    <w:rsid w:val="0FAE6C29"/>
    <w:rsid w:val="100E76C7"/>
    <w:rsid w:val="101E5B5C"/>
    <w:rsid w:val="101F18D4"/>
    <w:rsid w:val="10234F21"/>
    <w:rsid w:val="10334A90"/>
    <w:rsid w:val="10362255"/>
    <w:rsid w:val="10482BD9"/>
    <w:rsid w:val="10B65D95"/>
    <w:rsid w:val="10CD7582"/>
    <w:rsid w:val="11226B19"/>
    <w:rsid w:val="11401B02"/>
    <w:rsid w:val="116E6670"/>
    <w:rsid w:val="11875983"/>
    <w:rsid w:val="11902A8A"/>
    <w:rsid w:val="11A27059"/>
    <w:rsid w:val="127E28E2"/>
    <w:rsid w:val="12F2507E"/>
    <w:rsid w:val="12F901BB"/>
    <w:rsid w:val="130F3E82"/>
    <w:rsid w:val="1323348A"/>
    <w:rsid w:val="13294F44"/>
    <w:rsid w:val="133D6821"/>
    <w:rsid w:val="138C54D3"/>
    <w:rsid w:val="138E124B"/>
    <w:rsid w:val="138E33BD"/>
    <w:rsid w:val="13B54A2A"/>
    <w:rsid w:val="13BA06E0"/>
    <w:rsid w:val="13E62E35"/>
    <w:rsid w:val="14181C86"/>
    <w:rsid w:val="141C6857"/>
    <w:rsid w:val="14221993"/>
    <w:rsid w:val="144303FE"/>
    <w:rsid w:val="148A26A1"/>
    <w:rsid w:val="14A32AD4"/>
    <w:rsid w:val="14A64E33"/>
    <w:rsid w:val="14C842E9"/>
    <w:rsid w:val="14D013EF"/>
    <w:rsid w:val="14FD1D92"/>
    <w:rsid w:val="155E69FB"/>
    <w:rsid w:val="158F3058"/>
    <w:rsid w:val="15B17F40"/>
    <w:rsid w:val="15BA7068"/>
    <w:rsid w:val="15BF24DE"/>
    <w:rsid w:val="15FF654E"/>
    <w:rsid w:val="16042108"/>
    <w:rsid w:val="1638724C"/>
    <w:rsid w:val="16985F3D"/>
    <w:rsid w:val="16D276A1"/>
    <w:rsid w:val="16E41182"/>
    <w:rsid w:val="16ED0036"/>
    <w:rsid w:val="170B4961"/>
    <w:rsid w:val="17254D7D"/>
    <w:rsid w:val="1796247C"/>
    <w:rsid w:val="17B86896"/>
    <w:rsid w:val="17F906B8"/>
    <w:rsid w:val="183733A8"/>
    <w:rsid w:val="183A54FD"/>
    <w:rsid w:val="183F48C2"/>
    <w:rsid w:val="184270FB"/>
    <w:rsid w:val="185145F5"/>
    <w:rsid w:val="187622AE"/>
    <w:rsid w:val="18CA1CED"/>
    <w:rsid w:val="18D14FE2"/>
    <w:rsid w:val="18F10B0F"/>
    <w:rsid w:val="19033B41"/>
    <w:rsid w:val="190B0C48"/>
    <w:rsid w:val="196071E6"/>
    <w:rsid w:val="19CA465F"/>
    <w:rsid w:val="19E6347B"/>
    <w:rsid w:val="1A271AB1"/>
    <w:rsid w:val="1A472154"/>
    <w:rsid w:val="1A475CB0"/>
    <w:rsid w:val="1A846758"/>
    <w:rsid w:val="1A862C7C"/>
    <w:rsid w:val="1A9A6727"/>
    <w:rsid w:val="1AE16104"/>
    <w:rsid w:val="1AEE2226"/>
    <w:rsid w:val="1B1D4C62"/>
    <w:rsid w:val="1B2F274D"/>
    <w:rsid w:val="1B3C333B"/>
    <w:rsid w:val="1B446693"/>
    <w:rsid w:val="1B6D7998"/>
    <w:rsid w:val="1B6F1962"/>
    <w:rsid w:val="1BC81072"/>
    <w:rsid w:val="1BDE43F2"/>
    <w:rsid w:val="1BF41E67"/>
    <w:rsid w:val="1C275D99"/>
    <w:rsid w:val="1C3861F8"/>
    <w:rsid w:val="1C876837"/>
    <w:rsid w:val="1C901B90"/>
    <w:rsid w:val="1CB533A4"/>
    <w:rsid w:val="1CC161ED"/>
    <w:rsid w:val="1CD13F56"/>
    <w:rsid w:val="1CDA105D"/>
    <w:rsid w:val="1D0623AE"/>
    <w:rsid w:val="1D232A04"/>
    <w:rsid w:val="1D2D3883"/>
    <w:rsid w:val="1D4110DC"/>
    <w:rsid w:val="1D525097"/>
    <w:rsid w:val="1D7C2114"/>
    <w:rsid w:val="1DAB69F9"/>
    <w:rsid w:val="1DB77A5C"/>
    <w:rsid w:val="1DBA49EB"/>
    <w:rsid w:val="1DC97EE6"/>
    <w:rsid w:val="1DCF0982"/>
    <w:rsid w:val="1DD51824"/>
    <w:rsid w:val="1DE77127"/>
    <w:rsid w:val="1E2A7DC2"/>
    <w:rsid w:val="1E334EC9"/>
    <w:rsid w:val="1E4A2212"/>
    <w:rsid w:val="1E8A0B5C"/>
    <w:rsid w:val="1E9B481C"/>
    <w:rsid w:val="1F3233D2"/>
    <w:rsid w:val="1F5C3FAB"/>
    <w:rsid w:val="1F6D440A"/>
    <w:rsid w:val="1FA53BA4"/>
    <w:rsid w:val="1FDF698A"/>
    <w:rsid w:val="1FEB532F"/>
    <w:rsid w:val="2009078B"/>
    <w:rsid w:val="202D3B9A"/>
    <w:rsid w:val="20337402"/>
    <w:rsid w:val="20542ED4"/>
    <w:rsid w:val="20601E9B"/>
    <w:rsid w:val="206C0B11"/>
    <w:rsid w:val="20880DD0"/>
    <w:rsid w:val="20A07A41"/>
    <w:rsid w:val="20C87D07"/>
    <w:rsid w:val="211803A6"/>
    <w:rsid w:val="211A2370"/>
    <w:rsid w:val="21276A09"/>
    <w:rsid w:val="214E3DC8"/>
    <w:rsid w:val="21556F04"/>
    <w:rsid w:val="21AB121A"/>
    <w:rsid w:val="21B71486"/>
    <w:rsid w:val="21BE719F"/>
    <w:rsid w:val="21F7620D"/>
    <w:rsid w:val="224A458F"/>
    <w:rsid w:val="22635651"/>
    <w:rsid w:val="22D12D91"/>
    <w:rsid w:val="22EA5B1F"/>
    <w:rsid w:val="231D1CA3"/>
    <w:rsid w:val="233148FF"/>
    <w:rsid w:val="239E2206"/>
    <w:rsid w:val="23A83E72"/>
    <w:rsid w:val="23D902C0"/>
    <w:rsid w:val="24C820E3"/>
    <w:rsid w:val="24F7089A"/>
    <w:rsid w:val="25412F98"/>
    <w:rsid w:val="254774AC"/>
    <w:rsid w:val="255708B7"/>
    <w:rsid w:val="2641214D"/>
    <w:rsid w:val="26487037"/>
    <w:rsid w:val="26686E64"/>
    <w:rsid w:val="26A5448A"/>
    <w:rsid w:val="26CA1AAA"/>
    <w:rsid w:val="26FD07C8"/>
    <w:rsid w:val="272730F1"/>
    <w:rsid w:val="27402404"/>
    <w:rsid w:val="276B7B29"/>
    <w:rsid w:val="277A3B68"/>
    <w:rsid w:val="27DA1B98"/>
    <w:rsid w:val="28127314"/>
    <w:rsid w:val="281B4AE7"/>
    <w:rsid w:val="28564FB5"/>
    <w:rsid w:val="289447B6"/>
    <w:rsid w:val="28AF5AD3"/>
    <w:rsid w:val="28D23530"/>
    <w:rsid w:val="28D61BB8"/>
    <w:rsid w:val="28E219C5"/>
    <w:rsid w:val="2928633E"/>
    <w:rsid w:val="295959FF"/>
    <w:rsid w:val="29673C78"/>
    <w:rsid w:val="29C503D5"/>
    <w:rsid w:val="2A073E8A"/>
    <w:rsid w:val="2A110088"/>
    <w:rsid w:val="2A297180"/>
    <w:rsid w:val="2A614B6C"/>
    <w:rsid w:val="2A822DCA"/>
    <w:rsid w:val="2A9A62D0"/>
    <w:rsid w:val="2AA50EFC"/>
    <w:rsid w:val="2AB53650"/>
    <w:rsid w:val="2ACA1641"/>
    <w:rsid w:val="2ADF4094"/>
    <w:rsid w:val="2B345DDC"/>
    <w:rsid w:val="2B563FA5"/>
    <w:rsid w:val="2B5B780D"/>
    <w:rsid w:val="2B6C1A1A"/>
    <w:rsid w:val="2BBA09D7"/>
    <w:rsid w:val="2BCF1265"/>
    <w:rsid w:val="2BD47772"/>
    <w:rsid w:val="2BDB6BA0"/>
    <w:rsid w:val="2BEC2B5B"/>
    <w:rsid w:val="2C3F0EDD"/>
    <w:rsid w:val="2C7E27DB"/>
    <w:rsid w:val="2CD549AD"/>
    <w:rsid w:val="2CF27769"/>
    <w:rsid w:val="2CF57589"/>
    <w:rsid w:val="2D297D5E"/>
    <w:rsid w:val="2D4542D1"/>
    <w:rsid w:val="2D6A01DB"/>
    <w:rsid w:val="2D7828F8"/>
    <w:rsid w:val="2D8A262B"/>
    <w:rsid w:val="2E450300"/>
    <w:rsid w:val="2E544B59"/>
    <w:rsid w:val="2F7075FF"/>
    <w:rsid w:val="2F835584"/>
    <w:rsid w:val="2F8E07F4"/>
    <w:rsid w:val="2FD858D0"/>
    <w:rsid w:val="30565E74"/>
    <w:rsid w:val="306453B6"/>
    <w:rsid w:val="30D37E45"/>
    <w:rsid w:val="30ED04CD"/>
    <w:rsid w:val="30F2476F"/>
    <w:rsid w:val="31046251"/>
    <w:rsid w:val="313F372D"/>
    <w:rsid w:val="314E571E"/>
    <w:rsid w:val="31A83080"/>
    <w:rsid w:val="31B71515"/>
    <w:rsid w:val="31C14142"/>
    <w:rsid w:val="321D3A6E"/>
    <w:rsid w:val="323A4620"/>
    <w:rsid w:val="323B3EF4"/>
    <w:rsid w:val="32537490"/>
    <w:rsid w:val="325B00F2"/>
    <w:rsid w:val="329D695D"/>
    <w:rsid w:val="32B06690"/>
    <w:rsid w:val="32BF2D77"/>
    <w:rsid w:val="32E14A9C"/>
    <w:rsid w:val="334D1BEF"/>
    <w:rsid w:val="337573F1"/>
    <w:rsid w:val="33CB74FA"/>
    <w:rsid w:val="33F343E4"/>
    <w:rsid w:val="343230D5"/>
    <w:rsid w:val="343706EB"/>
    <w:rsid w:val="343D2621"/>
    <w:rsid w:val="347B2CCE"/>
    <w:rsid w:val="34D67F04"/>
    <w:rsid w:val="3507779A"/>
    <w:rsid w:val="3531125E"/>
    <w:rsid w:val="35456B44"/>
    <w:rsid w:val="3562120C"/>
    <w:rsid w:val="359E6C74"/>
    <w:rsid w:val="35A61FCC"/>
    <w:rsid w:val="35EF74CF"/>
    <w:rsid w:val="35FE7713"/>
    <w:rsid w:val="360B1E2F"/>
    <w:rsid w:val="3610591A"/>
    <w:rsid w:val="36397EFF"/>
    <w:rsid w:val="36581519"/>
    <w:rsid w:val="367B6FB5"/>
    <w:rsid w:val="36B44275"/>
    <w:rsid w:val="36EB413B"/>
    <w:rsid w:val="376A0086"/>
    <w:rsid w:val="37887BDC"/>
    <w:rsid w:val="379C5435"/>
    <w:rsid w:val="37B207B5"/>
    <w:rsid w:val="37B24C58"/>
    <w:rsid w:val="37EE37B7"/>
    <w:rsid w:val="37F12C1A"/>
    <w:rsid w:val="383B4C4E"/>
    <w:rsid w:val="38561A88"/>
    <w:rsid w:val="386A108F"/>
    <w:rsid w:val="38A00F55"/>
    <w:rsid w:val="38EC7CF6"/>
    <w:rsid w:val="3907322C"/>
    <w:rsid w:val="39495149"/>
    <w:rsid w:val="395A55A8"/>
    <w:rsid w:val="398048E2"/>
    <w:rsid w:val="398C3287"/>
    <w:rsid w:val="399F563F"/>
    <w:rsid w:val="39A71E6F"/>
    <w:rsid w:val="39D709A6"/>
    <w:rsid w:val="39DD3AE3"/>
    <w:rsid w:val="3A0A0D7C"/>
    <w:rsid w:val="3A4D2A17"/>
    <w:rsid w:val="3AC0768C"/>
    <w:rsid w:val="3AD449D0"/>
    <w:rsid w:val="3AEA295B"/>
    <w:rsid w:val="3B085907"/>
    <w:rsid w:val="3B11613A"/>
    <w:rsid w:val="3B295232"/>
    <w:rsid w:val="3B6B3A9C"/>
    <w:rsid w:val="3B871F58"/>
    <w:rsid w:val="3B9603ED"/>
    <w:rsid w:val="3B9A1C8B"/>
    <w:rsid w:val="3BB014AF"/>
    <w:rsid w:val="3BD442B2"/>
    <w:rsid w:val="3C2C2E98"/>
    <w:rsid w:val="3D005B55"/>
    <w:rsid w:val="3D5F13DF"/>
    <w:rsid w:val="3D661DAC"/>
    <w:rsid w:val="3D7B789B"/>
    <w:rsid w:val="3DB72FC9"/>
    <w:rsid w:val="3DFA4C63"/>
    <w:rsid w:val="3E2E7003"/>
    <w:rsid w:val="3EA959BD"/>
    <w:rsid w:val="3ECA2807"/>
    <w:rsid w:val="3ECD4DB7"/>
    <w:rsid w:val="3EEC6CA2"/>
    <w:rsid w:val="3EF43DA9"/>
    <w:rsid w:val="3EFE4C27"/>
    <w:rsid w:val="3F05691F"/>
    <w:rsid w:val="3F0B2EA0"/>
    <w:rsid w:val="3F11495A"/>
    <w:rsid w:val="3F3C018C"/>
    <w:rsid w:val="3F41737C"/>
    <w:rsid w:val="3F4F0FDF"/>
    <w:rsid w:val="3FA07A8C"/>
    <w:rsid w:val="3FAC01DF"/>
    <w:rsid w:val="3FB3156E"/>
    <w:rsid w:val="3FFC1167"/>
    <w:rsid w:val="401B1A9A"/>
    <w:rsid w:val="40295CD4"/>
    <w:rsid w:val="40833636"/>
    <w:rsid w:val="40AC3C03"/>
    <w:rsid w:val="40C652D1"/>
    <w:rsid w:val="41393CF5"/>
    <w:rsid w:val="416D399E"/>
    <w:rsid w:val="41886A2A"/>
    <w:rsid w:val="41893C35"/>
    <w:rsid w:val="41986734"/>
    <w:rsid w:val="41AC2719"/>
    <w:rsid w:val="41BF069E"/>
    <w:rsid w:val="41C77552"/>
    <w:rsid w:val="41F745A2"/>
    <w:rsid w:val="4269685C"/>
    <w:rsid w:val="427A6373"/>
    <w:rsid w:val="431C567C"/>
    <w:rsid w:val="434B12A1"/>
    <w:rsid w:val="43C96054"/>
    <w:rsid w:val="43D3482C"/>
    <w:rsid w:val="43E77A38"/>
    <w:rsid w:val="44354C47"/>
    <w:rsid w:val="44B4777C"/>
    <w:rsid w:val="44F00B6E"/>
    <w:rsid w:val="44F22952"/>
    <w:rsid w:val="44F763A1"/>
    <w:rsid w:val="45603F46"/>
    <w:rsid w:val="45A57BAB"/>
    <w:rsid w:val="45B24076"/>
    <w:rsid w:val="45E5444B"/>
    <w:rsid w:val="45FE72BB"/>
    <w:rsid w:val="460F14C8"/>
    <w:rsid w:val="46132D66"/>
    <w:rsid w:val="46236D21"/>
    <w:rsid w:val="462C5BD6"/>
    <w:rsid w:val="46704FD2"/>
    <w:rsid w:val="467C4DAF"/>
    <w:rsid w:val="468477C0"/>
    <w:rsid w:val="46BB76F5"/>
    <w:rsid w:val="46C92B26"/>
    <w:rsid w:val="470628CB"/>
    <w:rsid w:val="471227E0"/>
    <w:rsid w:val="47264849"/>
    <w:rsid w:val="4737208D"/>
    <w:rsid w:val="47541888"/>
    <w:rsid w:val="47B61E35"/>
    <w:rsid w:val="47D66741"/>
    <w:rsid w:val="47FF736B"/>
    <w:rsid w:val="481132D5"/>
    <w:rsid w:val="483E7E42"/>
    <w:rsid w:val="48533A6B"/>
    <w:rsid w:val="489108BA"/>
    <w:rsid w:val="48E26758"/>
    <w:rsid w:val="48F30C2D"/>
    <w:rsid w:val="490E1F0B"/>
    <w:rsid w:val="4913307D"/>
    <w:rsid w:val="495F4514"/>
    <w:rsid w:val="4989333F"/>
    <w:rsid w:val="49D23222"/>
    <w:rsid w:val="4A235542"/>
    <w:rsid w:val="4A800BE6"/>
    <w:rsid w:val="4B137364"/>
    <w:rsid w:val="4B1960F7"/>
    <w:rsid w:val="4B1D4687"/>
    <w:rsid w:val="4B281D51"/>
    <w:rsid w:val="4B5856BF"/>
    <w:rsid w:val="4B6D6DE3"/>
    <w:rsid w:val="4B832D98"/>
    <w:rsid w:val="4B8E10E1"/>
    <w:rsid w:val="4BBC79FC"/>
    <w:rsid w:val="4BC34D4C"/>
    <w:rsid w:val="4BD411EA"/>
    <w:rsid w:val="4C59524B"/>
    <w:rsid w:val="4C652457"/>
    <w:rsid w:val="4CAD4014"/>
    <w:rsid w:val="4CC02C8E"/>
    <w:rsid w:val="4D3D691B"/>
    <w:rsid w:val="4D3F2693"/>
    <w:rsid w:val="4D9F3131"/>
    <w:rsid w:val="4DC64B62"/>
    <w:rsid w:val="4DCF5FFB"/>
    <w:rsid w:val="4DDC7A65"/>
    <w:rsid w:val="4E0F6509"/>
    <w:rsid w:val="4E3C3076"/>
    <w:rsid w:val="4EB26E94"/>
    <w:rsid w:val="4EE449DA"/>
    <w:rsid w:val="4EF82658"/>
    <w:rsid w:val="4EFF5B7A"/>
    <w:rsid w:val="4F8B7E11"/>
    <w:rsid w:val="4FAC734A"/>
    <w:rsid w:val="4FB82BD0"/>
    <w:rsid w:val="4FBC621D"/>
    <w:rsid w:val="4FCD667C"/>
    <w:rsid w:val="4FCE41A2"/>
    <w:rsid w:val="4FE15C83"/>
    <w:rsid w:val="5003209D"/>
    <w:rsid w:val="50173EAA"/>
    <w:rsid w:val="503E1327"/>
    <w:rsid w:val="5064466C"/>
    <w:rsid w:val="50B82141"/>
    <w:rsid w:val="50D21A70"/>
    <w:rsid w:val="50D73F26"/>
    <w:rsid w:val="50D94BAC"/>
    <w:rsid w:val="5112495F"/>
    <w:rsid w:val="5139564B"/>
    <w:rsid w:val="51427A2B"/>
    <w:rsid w:val="51586419"/>
    <w:rsid w:val="515E50B1"/>
    <w:rsid w:val="51A72EFC"/>
    <w:rsid w:val="51B502E6"/>
    <w:rsid w:val="51D76AA8"/>
    <w:rsid w:val="51F55A16"/>
    <w:rsid w:val="521A36CE"/>
    <w:rsid w:val="523C3645"/>
    <w:rsid w:val="524B3888"/>
    <w:rsid w:val="52750905"/>
    <w:rsid w:val="52813EDC"/>
    <w:rsid w:val="52927709"/>
    <w:rsid w:val="52D41ACF"/>
    <w:rsid w:val="531D5224"/>
    <w:rsid w:val="534C5B09"/>
    <w:rsid w:val="53590226"/>
    <w:rsid w:val="537D2167"/>
    <w:rsid w:val="538A5CD0"/>
    <w:rsid w:val="53F006E8"/>
    <w:rsid w:val="53F641AA"/>
    <w:rsid w:val="53F817ED"/>
    <w:rsid w:val="541C1980"/>
    <w:rsid w:val="54281936"/>
    <w:rsid w:val="544028E2"/>
    <w:rsid w:val="548457F1"/>
    <w:rsid w:val="54A159E1"/>
    <w:rsid w:val="54AD549D"/>
    <w:rsid w:val="54C618EB"/>
    <w:rsid w:val="54F4499B"/>
    <w:rsid w:val="550D12C8"/>
    <w:rsid w:val="55322ADD"/>
    <w:rsid w:val="55434CEA"/>
    <w:rsid w:val="555060C5"/>
    <w:rsid w:val="55564A1D"/>
    <w:rsid w:val="55793BB6"/>
    <w:rsid w:val="558F7F2F"/>
    <w:rsid w:val="559430FD"/>
    <w:rsid w:val="559E0172"/>
    <w:rsid w:val="55B41744"/>
    <w:rsid w:val="56051FA0"/>
    <w:rsid w:val="560953AA"/>
    <w:rsid w:val="561D19DF"/>
    <w:rsid w:val="56312D95"/>
    <w:rsid w:val="563B3C13"/>
    <w:rsid w:val="56455B22"/>
    <w:rsid w:val="56666EE2"/>
    <w:rsid w:val="56B23ED5"/>
    <w:rsid w:val="5705494D"/>
    <w:rsid w:val="570F30D6"/>
    <w:rsid w:val="572F79C6"/>
    <w:rsid w:val="57480577"/>
    <w:rsid w:val="575142D9"/>
    <w:rsid w:val="57BB1FCF"/>
    <w:rsid w:val="583354EA"/>
    <w:rsid w:val="58387597"/>
    <w:rsid w:val="58445001"/>
    <w:rsid w:val="5847689F"/>
    <w:rsid w:val="585039A6"/>
    <w:rsid w:val="58B77EC9"/>
    <w:rsid w:val="58E30CBE"/>
    <w:rsid w:val="59545718"/>
    <w:rsid w:val="599D296C"/>
    <w:rsid w:val="59D2561F"/>
    <w:rsid w:val="59DA3B24"/>
    <w:rsid w:val="59FC3210"/>
    <w:rsid w:val="5A0F7891"/>
    <w:rsid w:val="5A5A4FB0"/>
    <w:rsid w:val="5A7A7400"/>
    <w:rsid w:val="5AB02E22"/>
    <w:rsid w:val="5AD3266C"/>
    <w:rsid w:val="5B303F63"/>
    <w:rsid w:val="5B490B80"/>
    <w:rsid w:val="5B834092"/>
    <w:rsid w:val="5BAF30D9"/>
    <w:rsid w:val="5BC528FD"/>
    <w:rsid w:val="5BF34CF4"/>
    <w:rsid w:val="5C0602B2"/>
    <w:rsid w:val="5C0C4088"/>
    <w:rsid w:val="5C381321"/>
    <w:rsid w:val="5CB169DD"/>
    <w:rsid w:val="5CBE07F4"/>
    <w:rsid w:val="5CE33960"/>
    <w:rsid w:val="5CF1327E"/>
    <w:rsid w:val="5D7807FB"/>
    <w:rsid w:val="5D9555C5"/>
    <w:rsid w:val="5DAF116F"/>
    <w:rsid w:val="5DFB359E"/>
    <w:rsid w:val="5E2751A9"/>
    <w:rsid w:val="5E4105E7"/>
    <w:rsid w:val="5F593CE7"/>
    <w:rsid w:val="5F5D5A28"/>
    <w:rsid w:val="5F750196"/>
    <w:rsid w:val="5FE75BC2"/>
    <w:rsid w:val="6005151A"/>
    <w:rsid w:val="601900D9"/>
    <w:rsid w:val="601E06E0"/>
    <w:rsid w:val="602A0546"/>
    <w:rsid w:val="603242D9"/>
    <w:rsid w:val="605F444D"/>
    <w:rsid w:val="60A800F7"/>
    <w:rsid w:val="60DD2497"/>
    <w:rsid w:val="60E2185B"/>
    <w:rsid w:val="611E4310"/>
    <w:rsid w:val="612479FF"/>
    <w:rsid w:val="6142679E"/>
    <w:rsid w:val="614442C4"/>
    <w:rsid w:val="616E6854"/>
    <w:rsid w:val="61BF4A88"/>
    <w:rsid w:val="61D07906"/>
    <w:rsid w:val="620A7485"/>
    <w:rsid w:val="621E68C3"/>
    <w:rsid w:val="6220263B"/>
    <w:rsid w:val="62614A02"/>
    <w:rsid w:val="628E051F"/>
    <w:rsid w:val="62C15DE7"/>
    <w:rsid w:val="62C3746A"/>
    <w:rsid w:val="62DE0098"/>
    <w:rsid w:val="62F87114"/>
    <w:rsid w:val="63AE1EC8"/>
    <w:rsid w:val="63C90AB0"/>
    <w:rsid w:val="63CB4828"/>
    <w:rsid w:val="63CF256B"/>
    <w:rsid w:val="640E6E56"/>
    <w:rsid w:val="64144421"/>
    <w:rsid w:val="64216B3E"/>
    <w:rsid w:val="64281C7B"/>
    <w:rsid w:val="6461518D"/>
    <w:rsid w:val="64691C0A"/>
    <w:rsid w:val="64925346"/>
    <w:rsid w:val="64942E6C"/>
    <w:rsid w:val="649E3F12"/>
    <w:rsid w:val="64A21A2D"/>
    <w:rsid w:val="64B452BD"/>
    <w:rsid w:val="64BE3B19"/>
    <w:rsid w:val="64DB1B99"/>
    <w:rsid w:val="64EA6F30"/>
    <w:rsid w:val="64F721CE"/>
    <w:rsid w:val="65030AD7"/>
    <w:rsid w:val="654523B9"/>
    <w:rsid w:val="6546685C"/>
    <w:rsid w:val="657A6506"/>
    <w:rsid w:val="65C47781"/>
    <w:rsid w:val="6612673F"/>
    <w:rsid w:val="664A412A"/>
    <w:rsid w:val="665E3732"/>
    <w:rsid w:val="666D1BC7"/>
    <w:rsid w:val="667C005C"/>
    <w:rsid w:val="66882EA5"/>
    <w:rsid w:val="66AA4BC9"/>
    <w:rsid w:val="66C57C55"/>
    <w:rsid w:val="6712276E"/>
    <w:rsid w:val="673072D4"/>
    <w:rsid w:val="67445229"/>
    <w:rsid w:val="676905E0"/>
    <w:rsid w:val="67780823"/>
    <w:rsid w:val="6779459B"/>
    <w:rsid w:val="67AE2497"/>
    <w:rsid w:val="67CF04D5"/>
    <w:rsid w:val="67D0240D"/>
    <w:rsid w:val="67F93FAB"/>
    <w:rsid w:val="68041BA6"/>
    <w:rsid w:val="68352BB8"/>
    <w:rsid w:val="68355734"/>
    <w:rsid w:val="68531E47"/>
    <w:rsid w:val="685F78CA"/>
    <w:rsid w:val="686F6E01"/>
    <w:rsid w:val="6890028C"/>
    <w:rsid w:val="689E42BA"/>
    <w:rsid w:val="68CA1553"/>
    <w:rsid w:val="68D71910"/>
    <w:rsid w:val="696E3567"/>
    <w:rsid w:val="698A6F34"/>
    <w:rsid w:val="69E06B54"/>
    <w:rsid w:val="69F148BD"/>
    <w:rsid w:val="69FB4103"/>
    <w:rsid w:val="6A260A0B"/>
    <w:rsid w:val="6A496A7E"/>
    <w:rsid w:val="6A8D6CDC"/>
    <w:rsid w:val="6AA858C3"/>
    <w:rsid w:val="6AC83870"/>
    <w:rsid w:val="6AD55F8D"/>
    <w:rsid w:val="6AF40C4A"/>
    <w:rsid w:val="6AF91C7B"/>
    <w:rsid w:val="6AFC6742"/>
    <w:rsid w:val="6B0D3978"/>
    <w:rsid w:val="6B1765A5"/>
    <w:rsid w:val="6B9B71D6"/>
    <w:rsid w:val="6BF6265F"/>
    <w:rsid w:val="6BF85361"/>
    <w:rsid w:val="6C0A7EB8"/>
    <w:rsid w:val="6C3167E1"/>
    <w:rsid w:val="6C4038DA"/>
    <w:rsid w:val="6C4B29AA"/>
    <w:rsid w:val="6C68355C"/>
    <w:rsid w:val="6C846F02"/>
    <w:rsid w:val="6D316543"/>
    <w:rsid w:val="6D851EEC"/>
    <w:rsid w:val="6D8F04DF"/>
    <w:rsid w:val="6DA73C10"/>
    <w:rsid w:val="6DBD740C"/>
    <w:rsid w:val="6E31137D"/>
    <w:rsid w:val="6E4A0A40"/>
    <w:rsid w:val="6E5B0E2F"/>
    <w:rsid w:val="6E697118"/>
    <w:rsid w:val="6EAB14DE"/>
    <w:rsid w:val="6EEE586F"/>
    <w:rsid w:val="6EF07839"/>
    <w:rsid w:val="6F23376B"/>
    <w:rsid w:val="6F2F54CD"/>
    <w:rsid w:val="6F5648EC"/>
    <w:rsid w:val="6F6124E5"/>
    <w:rsid w:val="6F960E0D"/>
    <w:rsid w:val="702E23C7"/>
    <w:rsid w:val="70587444"/>
    <w:rsid w:val="705876E0"/>
    <w:rsid w:val="707149AA"/>
    <w:rsid w:val="70730722"/>
    <w:rsid w:val="70757FF6"/>
    <w:rsid w:val="709A7A5C"/>
    <w:rsid w:val="70CD6084"/>
    <w:rsid w:val="70D34FDC"/>
    <w:rsid w:val="70DC4260"/>
    <w:rsid w:val="70EE7DA8"/>
    <w:rsid w:val="713752AB"/>
    <w:rsid w:val="717C7162"/>
    <w:rsid w:val="71B903B6"/>
    <w:rsid w:val="71BE3C1E"/>
    <w:rsid w:val="71D64AC4"/>
    <w:rsid w:val="71EA0570"/>
    <w:rsid w:val="71F87130"/>
    <w:rsid w:val="72084E9A"/>
    <w:rsid w:val="72284FDE"/>
    <w:rsid w:val="7238752D"/>
    <w:rsid w:val="72442376"/>
    <w:rsid w:val="72600832"/>
    <w:rsid w:val="727F33AE"/>
    <w:rsid w:val="72AE3C93"/>
    <w:rsid w:val="72C72545"/>
    <w:rsid w:val="72EE0533"/>
    <w:rsid w:val="72F35B4A"/>
    <w:rsid w:val="72F62470"/>
    <w:rsid w:val="732452B0"/>
    <w:rsid w:val="734D7008"/>
    <w:rsid w:val="736600CA"/>
    <w:rsid w:val="73BA21C4"/>
    <w:rsid w:val="73D72D76"/>
    <w:rsid w:val="73E07E7C"/>
    <w:rsid w:val="74341F76"/>
    <w:rsid w:val="745F5557"/>
    <w:rsid w:val="74620891"/>
    <w:rsid w:val="74884070"/>
    <w:rsid w:val="74CC78DB"/>
    <w:rsid w:val="74E21AD4"/>
    <w:rsid w:val="74E25E76"/>
    <w:rsid w:val="75061B64"/>
    <w:rsid w:val="75070109"/>
    <w:rsid w:val="750859E5"/>
    <w:rsid w:val="75752846"/>
    <w:rsid w:val="758D51FB"/>
    <w:rsid w:val="75F0011F"/>
    <w:rsid w:val="75FC7E24"/>
    <w:rsid w:val="76004806"/>
    <w:rsid w:val="761C0F14"/>
    <w:rsid w:val="769F7BC8"/>
    <w:rsid w:val="76B80C3C"/>
    <w:rsid w:val="77510F5D"/>
    <w:rsid w:val="775726FB"/>
    <w:rsid w:val="77595852"/>
    <w:rsid w:val="77AF64E3"/>
    <w:rsid w:val="77B46856"/>
    <w:rsid w:val="77E7004A"/>
    <w:rsid w:val="78400776"/>
    <w:rsid w:val="78AA2807"/>
    <w:rsid w:val="78B5223B"/>
    <w:rsid w:val="78C37D6C"/>
    <w:rsid w:val="790C1713"/>
    <w:rsid w:val="79233CD2"/>
    <w:rsid w:val="792E3A8C"/>
    <w:rsid w:val="796E1A86"/>
    <w:rsid w:val="7979156F"/>
    <w:rsid w:val="79894B12"/>
    <w:rsid w:val="79A75DED"/>
    <w:rsid w:val="79B72142"/>
    <w:rsid w:val="79C478F8"/>
    <w:rsid w:val="7A0C6AB7"/>
    <w:rsid w:val="7A480529"/>
    <w:rsid w:val="7AFD4C23"/>
    <w:rsid w:val="7B0F14AF"/>
    <w:rsid w:val="7B1E74DC"/>
    <w:rsid w:val="7B62386D"/>
    <w:rsid w:val="7B963516"/>
    <w:rsid w:val="7BA94FF8"/>
    <w:rsid w:val="7BC10593"/>
    <w:rsid w:val="7BE349AD"/>
    <w:rsid w:val="7C4D62CB"/>
    <w:rsid w:val="7C7C270C"/>
    <w:rsid w:val="7CE65DD7"/>
    <w:rsid w:val="7D225719"/>
    <w:rsid w:val="7D43322A"/>
    <w:rsid w:val="7D781125"/>
    <w:rsid w:val="7DC51E91"/>
    <w:rsid w:val="7DE93DD1"/>
    <w:rsid w:val="7DEA3FF1"/>
    <w:rsid w:val="7DF74740"/>
    <w:rsid w:val="7E0E55E6"/>
    <w:rsid w:val="7E2412AD"/>
    <w:rsid w:val="7E292420"/>
    <w:rsid w:val="7E2D0687"/>
    <w:rsid w:val="7E3F60E7"/>
    <w:rsid w:val="7E8458A8"/>
    <w:rsid w:val="7EA36676"/>
    <w:rsid w:val="7EA85A3A"/>
    <w:rsid w:val="7ECD4307"/>
    <w:rsid w:val="7F0013D2"/>
    <w:rsid w:val="7F1E5CFC"/>
    <w:rsid w:val="7F6C2F0C"/>
    <w:rsid w:val="7F8813C8"/>
    <w:rsid w:val="7F9164CE"/>
    <w:rsid w:val="7FC06DB4"/>
    <w:rsid w:val="7FE64018"/>
    <w:rsid w:val="7FF6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ind w:left="120"/>
      <w:outlineLvl w:val="1"/>
    </w:pPr>
    <w:rPr>
      <w:rFonts w:ascii="Microsoft JhengHei" w:hAnsi="Microsoft JhengHei" w:eastAsia="Microsoft JhengHei"/>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ind w:firstLine="480" w:firstLineChars="200"/>
      <w:jc w:val="left"/>
    </w:pPr>
    <w:rPr>
      <w:rFonts w:ascii="华文中宋" w:hAnsi="华文中宋" w:eastAsia="华文中宋"/>
      <w:sz w:val="24"/>
    </w:rPr>
  </w:style>
  <w:style w:type="paragraph" w:styleId="8">
    <w:name w:val="List Paragraph"/>
    <w:basedOn w:val="1"/>
    <w:qFormat/>
    <w:uiPriority w:val="0"/>
    <w:pPr>
      <w:ind w:firstLine="420" w:firstLineChars="200"/>
    </w:pPr>
    <w:rPr>
      <w:rFonts w:ascii="Calibri" w:hAnsi="Calibri"/>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7521</Words>
  <Characters>7581</Characters>
  <Lines>0</Lines>
  <Paragraphs>0</Paragraphs>
  <TotalTime>10</TotalTime>
  <ScaleCrop>false</ScaleCrop>
  <LinksUpToDate>false</LinksUpToDate>
  <CharactersWithSpaces>7645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2026-03-13T01:15:00Z</dcterms:created>
  <dc:creator>Administrator</dc:creator>
  <cp:lastModifiedBy>Oben(⊙o⊙)</cp:lastModifiedBy>
  <cp:lastPrinted>2026-10-12T07:28:00Z</cp:lastPrinted>
  <dcterms:modified xsi:type="dcterms:W3CDTF">2026-10-13T01:57:02Z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eyJoZGlkIjoiYzM2M2ZiOGQwNWNhMmQ4OWIxZjk1YWUxM2M5ZDY4MzkiLCJ1c2VySWQiOiIyMTc4Nzk0NDEifQ==</vt:lpwstr>
  </property>
  <property fmtid="{D5CDD505-2E9C-101B-9397-08002B2CF9AE}" pid="4" name="ICV">
    <vt:lpwstr>2EA5D3451B3C47999C4BEE3AF2E54C18_12</vt:lpwstr>
  </property>
</Properties>
</file>