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湖滨区审计局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lang w:val="en-US" w:eastAsia="zh-CN"/>
        </w:rPr>
        <w:t>2025</w:t>
      </w:r>
      <w:r>
        <w:rPr>
          <w:rFonts w:hint="eastAsia" w:ascii="方正小标宋简体" w:hAnsi="方正小标宋简体" w:eastAsia="方正小标宋简体" w:cs="方正小标宋简体"/>
          <w:b w:val="0"/>
          <w:bCs w:val="0"/>
          <w:sz w:val="44"/>
          <w:szCs w:val="44"/>
          <w:lang w:val="en-US" w:eastAsia="zh-CN"/>
        </w:rPr>
        <w:t>年度</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法治政府建设情况的报告</w:t>
      </w:r>
    </w:p>
    <w:bookmarkEnd w:id="0"/>
    <w:p>
      <w:pPr>
        <w:pStyle w:val="2"/>
        <w:keepNext w:val="0"/>
        <w:keepLines w:val="0"/>
        <w:pageBreakBefore w:val="0"/>
        <w:kinsoku/>
        <w:wordWrap/>
        <w:overflowPunct/>
        <w:topLinePunct w:val="0"/>
        <w:autoSpaceDE/>
        <w:autoSpaceDN/>
        <w:bidi w:val="0"/>
        <w:adjustRightInd/>
        <w:snapToGrid/>
        <w:spacing w:before="0" w:beforeAutospacing="0" w:after="0" w:line="578" w:lineRule="exact"/>
        <w:ind w:left="0" w:leftChars="0" w:right="0" w:rightChars="0" w:firstLine="0" w:firstLineChars="0"/>
        <w:textAlignment w:val="auto"/>
        <w:rPr>
          <w:rFonts w:hint="default" w:ascii="Times New Roman" w:hAnsi="Times New Roman" w:cs="Times New Roman"/>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0"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2025年是“十四五”规划及“八五”普法规划的收官之年。今年以来，湖滨区审计局在区委、区政府的坚强领导下，坚持以习近平新时代中国特色社会主义思想为指导，深入贯彻落实党的二十大及二十届二中、三中、四中全会精神，紧紧围绕法治政府建设目标任务，扎实推进依法审计、规范执法、法治宣传等工作，充分发挥审计在推进国家治理体系和治理能力现代化中的职能作用，全面提升审计法治化水平。现将本年度法治政府建设情况报告如下：</w:t>
      </w:r>
    </w:p>
    <w:p>
      <w:pPr>
        <w:keepNext w:val="0"/>
        <w:keepLines w:val="0"/>
        <w:pageBreakBefore w:val="0"/>
        <w:numPr>
          <w:ilvl w:val="0"/>
          <w:numId w:val="1"/>
        </w:numPr>
        <w:kinsoku/>
        <w:wordWrap/>
        <w:overflowPunct/>
        <w:topLinePunct w:val="0"/>
        <w:autoSpaceDE/>
        <w:autoSpaceDN/>
        <w:bidi w:val="0"/>
        <w:adjustRightInd/>
        <w:snapToGrid/>
        <w:spacing w:beforeAutospacing="0" w:line="578" w:lineRule="exact"/>
        <w:ind w:right="0" w:rightChars="0" w:firstLine="640" w:firstLineChars="200"/>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b w:val="0"/>
          <w:bCs w:val="0"/>
          <w:i w:val="0"/>
          <w:iCs w:val="0"/>
          <w:caps w:val="0"/>
          <w:color w:val="000000"/>
          <w:spacing w:val="0"/>
          <w:sz w:val="32"/>
          <w:szCs w:val="32"/>
          <w:u w:val="none"/>
          <w:shd w:val="clear" w:color="auto" w:fill="FFFFFF"/>
          <w:lang w:val="en-US" w:eastAsia="zh-CN"/>
        </w:rPr>
        <w:t>党政主要负责人履行推进法治建设第一责任人职责，加强法治政府建设的有关情况</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0"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局主要负责人严格履行法治建设第一责任人职责，将法治政府建设纳入全局工作总体布局，与审计业务同部署、同推进、同考核。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b/>
          <w:bCs/>
          <w:color w:val="auto"/>
          <w:sz w:val="32"/>
          <w:szCs w:val="32"/>
          <w:lang w:val="en-US" w:eastAsia="zh-CN"/>
        </w:rPr>
        <w:t>（一）强化组织领导。</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局党组书记、局长认真履行推进法治建设第一责任人职责，定期在局党组会上听取法治政府建设情况汇报，研究部署法治建设工作；结合新情况新问题，积极谋划开展学法活动，组织全体干部职工系统学习习近平法治思想和《中华人民共和国宪法》《中华人民共和国审计法》《中华人民共和国法治宣传教育法》等法律法规，深入学习贯彻习近平法治思想，落实省市区关于法治政府建设的决策部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（二）带头学法用法。</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通过党组理论学习中心组、专题讲座等形式，组织学习了习近平法治思想、党的二十届四中全会精神和《中华人民共和国审计法》、《审计法实施条例》、《党政机关厉行节约反对浪费条例》、《中华人民共和国保守国家秘密法》等一系列相关的法律法规，进一步强化全体干部的纪律意识、政治意识，督促干部做到忠诚担当、清正廉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（三）严格依法决策、依法行政。</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在日常工作中，严格按规范性要求决策重大事项，凡是涉及重大事项决策、重要人事任免、重要项目安排、大额度资金使用等事项，均严格落实“三重一大”制度，充分发挥班子成员集体领导的作用，提高决策的民主性和科学性，做到依法行政、依法决策。依法向区人大常委会报告年度审计工作和审计整改工作情况，自觉接受人大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78" w:lineRule="exact"/>
        <w:ind w:left="0" w:leftChars="0" w:right="0" w:rightChars="0" w:firstLine="640" w:firstLineChars="200"/>
        <w:jc w:val="both"/>
        <w:textAlignment w:val="auto"/>
        <w:outlineLvl w:val="9"/>
        <w:rPr>
          <w:rFonts w:hint="default" w:ascii="黑体" w:hAnsi="黑体" w:eastAsia="黑体" w:cs="黑体"/>
          <w:b w:val="0"/>
          <w:bCs w:val="0"/>
          <w:i w:val="0"/>
          <w:iCs w:val="0"/>
          <w:caps w:val="0"/>
          <w:color w:val="000000"/>
          <w:spacing w:val="0"/>
          <w:sz w:val="32"/>
          <w:szCs w:val="32"/>
          <w:u w:val="none"/>
          <w:shd w:val="clear" w:color="auto" w:fill="FFFFFF"/>
          <w:lang w:val="en-US" w:eastAsia="zh-CN"/>
        </w:rPr>
      </w:pPr>
      <w:r>
        <w:rPr>
          <w:rFonts w:hint="default" w:ascii="黑体" w:hAnsi="黑体" w:eastAsia="黑体" w:cs="黑体"/>
          <w:b w:val="0"/>
          <w:bCs w:val="0"/>
          <w:i w:val="0"/>
          <w:iCs w:val="0"/>
          <w:caps w:val="0"/>
          <w:color w:val="000000"/>
          <w:spacing w:val="0"/>
          <w:sz w:val="32"/>
          <w:szCs w:val="32"/>
          <w:u w:val="none"/>
          <w:shd w:val="clear" w:color="auto" w:fill="FFFFFF"/>
          <w:lang w:val="en-US" w:eastAsia="zh-CN"/>
        </w:rPr>
        <w:t>二、2025年度推进法治政府建设的主要举措和成效</w:t>
      </w:r>
    </w:p>
    <w:p>
      <w:pPr>
        <w:keepNext w:val="0"/>
        <w:keepLines w:val="0"/>
        <w:pageBreakBefore w:val="0"/>
        <w:kinsoku/>
        <w:wordWrap/>
        <w:overflowPunct/>
        <w:topLinePunct w:val="0"/>
        <w:autoSpaceDE/>
        <w:autoSpaceDN/>
        <w:bidi w:val="0"/>
        <w:adjustRightInd/>
        <w:snapToGrid/>
        <w:spacing w:beforeAutospacing="0" w:line="578" w:lineRule="exact"/>
        <w:ind w:right="0" w:rightChars="0" w:firstLine="643" w:firstLineChars="200"/>
        <w:textAlignment w:val="auto"/>
        <w:outlineLvl w:val="9"/>
        <w:rPr>
          <w:rFonts w:hint="eastAsia" w:asciiTheme="minorEastAsia" w:hAnsiTheme="minorEastAsia" w:eastAsiaTheme="minorEastAsia" w:cstheme="minorEastAsia"/>
          <w:i w:val="0"/>
          <w:iCs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b/>
          <w:bCs/>
          <w:color w:val="auto"/>
          <w:sz w:val="32"/>
          <w:szCs w:val="32"/>
          <w:lang w:val="en-US" w:eastAsia="zh-CN"/>
        </w:rPr>
        <w:t>（一）提高政治站位，统筹推进法治政府建设。</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切实把深入学习习近平法治思想作为头等大事和首要任务，把习近平法治思想列入局党组理论学习中心组、党员学习、干部培训重点学习内容，2025年已开展习近平法治思想专题学习3次，切实以习近平法治思想为指导，依法开展审计工作。梳理区审计局权责清单，为我局深入推进法治政府建设，强化审计监督提出了明确的方向和目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（二）强化法治宣传，营造良好法治氛围。</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一是抓好内部法治教育。通过参加专题培训、线上学习、学法用法考试等形式，组织审计人员深入学习法律法规、审计准则等知识，不断提升审计人员法治素养和业务能力。二是多措并举开展审计普法工作，建立“谁执法谁普法”普法责任清单，明确普法工作的目标和任务,提高普法工作的效率和质量，推动社会法治建设。依托</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“三月法治宣传月”“</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4·15</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全民国家安全教育日”“民法典宣传月”“宪法宣传周”</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等活动，推进普法进机关、进社区，采取观看专题节目、组织宪法宣誓、悬挂横幅、发放宣传单等多种方式开展普法活动，增强群众运用法律手段维护合法权益、积极化解矛盾纠纷、自觉依法办事的意识；三是结合审计项目，扩大法治宣传范围。坚持借用审计进点会打通普法“最后一公里”，将普法活动延伸至审计一线，结合具体审计项目，强化边审计边普法的工作理念，深入被审计单位有针对性开展法治宣传活动，使审计普法融入审计实施全过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（三）依法履行职能，扎实推进审计工作。</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围绕</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“五个加强”</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加大审计监督力度。坚持稳中求进工作总基调，自觉运用中国特色社会主义审计事业规律性认识指导实践，严格遵照二十届中央审计委员会第二次会议要求，深入开展研究型审计，加强对重大战略、重大政策、重大项目，重大改革任务落实，重点领域经济风险，重点民生资金和项目，权力运行等5个方面的审计监督，坚决查处重大问题、关键问题、典型问题，更好发挥审计在推进党的自我革命中的独特作用。全年，我局自主开展计划项目13项；配合署、省、市计划项目14项；共计促进配套拨付、增收节支资金7135.95万元；审计报告提出审计建议53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w:t>
      </w:r>
      <w:r>
        <w:rPr>
          <w:rFonts w:hint="default" w:ascii="楷体_GB2312" w:hAnsi="楷体_GB2312" w:eastAsia="楷体_GB2312" w:cs="楷体_GB2312"/>
          <w:b/>
          <w:bCs/>
          <w:color w:val="auto"/>
          <w:sz w:val="32"/>
          <w:szCs w:val="32"/>
          <w:lang w:val="en-US" w:eastAsia="zh-CN"/>
        </w:rPr>
        <w:t>四）规范执法行为，聚焦提高审计业务质量。</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对标审计署</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“科学规范提升年”</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行动要求，压紧压实审计计划、组织实施、复核审理、督促整改各环节质量控制责任，坚决守住防范重大质量风险隐患的底线。</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一</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是严格执法程序。审计人员严格按照法定程序实施审计，在审计进点前 3日送达审计通知书；审计过程中，充分保障被审计单位的知情权、参与权和监督权，认真听取意见；审计结束后，依法依规出具审计报告等，并及时跟踪整改情况。二是强化审计质量控制。落实审计质量分级负责制，审计组长、股室负责人、审理人员层层把关，对审计证据、审计定性等进行严格审核，坚决把好“审计质量关”，对发现的问题及时通报整改，以查促改提升整体质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（五）强化审计权力监督和制约。</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一是依法向区人大常委会报告年度审计工作和审计整改工作情况。每年向区人大常委会报告年度审计本级预算执行和其他财政收支情况，自觉接受人大监督。审计工作报告内容全面、求真务实，审计工作得到人大代表充分肯定。二是按照相关法律法规对审计执法各个环节，全面加强控制约束，从制度上、程序上预防以审谋私、讲人情等问题的发生。在审计项目开展过程中，依照《中华人民共和国审计法》等相关规定，审计人员主动亮明身份，做到审计监督权在阳光下运行。推进行政执法事前公开制度，审计组进点审计时，在被审计单位张贴审计公示，实施审计与被审计单位双向承诺。</w:t>
      </w:r>
    </w:p>
    <w:p>
      <w:pPr>
        <w:keepNext w:val="0"/>
        <w:keepLines w:val="0"/>
        <w:pageBreakBefore w:val="0"/>
        <w:numPr>
          <w:ilvl w:val="0"/>
          <w:numId w:val="0"/>
        </w:numPr>
        <w:kinsoku/>
        <w:wordWrap/>
        <w:overflowPunct/>
        <w:topLinePunct w:val="0"/>
        <w:autoSpaceDE/>
        <w:autoSpaceDN/>
        <w:bidi w:val="0"/>
        <w:adjustRightInd/>
        <w:snapToGrid/>
        <w:spacing w:beforeAutospacing="0" w:line="578" w:lineRule="exact"/>
        <w:ind w:right="0" w:rightChars="0" w:firstLine="640" w:firstLineChars="200"/>
        <w:textAlignment w:val="auto"/>
        <w:outlineLvl w:val="9"/>
        <w:rPr>
          <w:rFonts w:hint="default" w:ascii="Times New Roman" w:hAnsi="Times New Roman" w:eastAsia="黑体" w:cs="Times New Roman"/>
          <w:b w:val="0"/>
          <w:bCs w:val="0"/>
          <w:i w:val="0"/>
          <w:iCs w:val="0"/>
          <w:caps w:val="0"/>
          <w:color w:val="000000"/>
          <w:spacing w:val="0"/>
          <w:sz w:val="32"/>
          <w:szCs w:val="32"/>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u w:val="none"/>
          <w:shd w:val="clear" w:color="auto" w:fill="FFFFFF"/>
          <w:lang w:val="en-US" w:eastAsia="zh-CN"/>
        </w:rPr>
        <w:t>三、2025年推进法治政府建设存在的不足</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0"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2025</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年，我局法治政府建设工作取得一定成效，但随着审计形势复杂，对审计监督工作提出更高的要求。一是法治工作创新力度仍需加强。普法内容及方式方法相对单一，主要依靠集中学习或向被审计单位宣传，面向社会公众的法治宣传形式不够丰富，针对性和实效性有待提高。二是复合型审计人才短缺。部分审计人员系统性实战历练不足，对跨领域业务（如工程建设、自然资源资产、大数据分析等）的专业知识储备不足。</w:t>
      </w:r>
    </w:p>
    <w:p>
      <w:pPr>
        <w:keepNext w:val="0"/>
        <w:keepLines w:val="0"/>
        <w:pageBreakBefore w:val="0"/>
        <w:numPr>
          <w:ilvl w:val="0"/>
          <w:numId w:val="0"/>
        </w:numPr>
        <w:kinsoku/>
        <w:wordWrap/>
        <w:overflowPunct/>
        <w:topLinePunct w:val="0"/>
        <w:autoSpaceDE/>
        <w:autoSpaceDN/>
        <w:bidi w:val="0"/>
        <w:adjustRightInd/>
        <w:snapToGrid/>
        <w:spacing w:beforeAutospacing="0" w:line="578" w:lineRule="exact"/>
        <w:ind w:right="0" w:rightChars="0" w:firstLine="640" w:firstLineChars="200"/>
        <w:textAlignment w:val="auto"/>
        <w:outlineLvl w:val="9"/>
        <w:rPr>
          <w:rFonts w:hint="default" w:ascii="Times New Roman" w:hAnsi="Times New Roman" w:eastAsia="黑体" w:cs="Times New Roman"/>
          <w:b w:val="0"/>
          <w:bCs w:val="0"/>
          <w:i w:val="0"/>
          <w:iCs w:val="0"/>
          <w:caps w:val="0"/>
          <w:color w:val="000000"/>
          <w:spacing w:val="0"/>
          <w:sz w:val="32"/>
          <w:szCs w:val="32"/>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u w:val="none"/>
          <w:shd w:val="clear" w:color="auto" w:fill="FFFFFF"/>
          <w:lang w:val="en-US" w:eastAsia="zh-CN"/>
        </w:rPr>
        <w:t>四、2026年推进法治政府建设的初步安排</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0" w:firstLineChars="200"/>
        <w:jc w:val="left"/>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2026年，我局将坚持以习近平法治思想为指导，持续加强审计法治建设，科学规范开展审计工作，为审计事业高质量发展提供坚强法治保障。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（一）持续深化理论武装，筑牢法治信仰之基。</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始终将习近平法治思想作为审计干部的“常修课”与“必修课”，摆在理论学习的首要位置。围绕普法、执法、守法等法治政府建设工作重点，研究解决法治政府建设中的重大问题，补齐短板，谋划法治政府建设重大事项，实现审计工作一盘棋，更好地聚合审计目标，统筹审计资源，做到上下贯通、同向发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left="0" w:right="0" w:rightChars="0" w:firstLine="643" w:firstLineChars="200"/>
        <w:jc w:val="left"/>
        <w:textAlignment w:val="auto"/>
        <w:outlineLvl w:val="9"/>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sz w:val="32"/>
          <w:szCs w:val="32"/>
          <w:lang w:val="en-US" w:eastAsia="zh-CN"/>
        </w:rPr>
        <w:t>（二）加强队伍建设，打造法治型审计机关。</w:t>
      </w:r>
      <w:r>
        <w:rPr>
          <w:rFonts w:hint="default" w:ascii="仿宋_GB2312" w:hAnsi="仿宋_GB2312" w:eastAsia="仿宋_GB2312" w:cs="仿宋_GB2312"/>
          <w:i w:val="0"/>
          <w:iCs w:val="0"/>
          <w:caps w:val="0"/>
          <w:color w:val="333333"/>
          <w:spacing w:val="0"/>
          <w:kern w:val="0"/>
          <w:sz w:val="32"/>
          <w:szCs w:val="32"/>
          <w:shd w:val="clear" w:color="auto" w:fill="FFFFFF"/>
          <w:lang w:val="en-US" w:eastAsia="zh-CN" w:bidi="ar"/>
        </w:rPr>
        <w:t>全面加强审计队伍的政治思想、作风能力建设,坚持严格管理、严格要求、严格监督。根据新时代审计工作新要求，不断完善审计工作人员的知识结构，特别是强化审计发现问题定性定责的法律知识学习。着力提升法律专业素养，聚焦审计干部队伍专业化要求，通过以审代训、以学促审等形式，提高依法审计实践能力。</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578" w:lineRule="exact"/>
        <w:ind w:right="0" w:rightChars="0" w:firstLine="643" w:firstLineChars="200"/>
        <w:textAlignment w:val="auto"/>
        <w:outlineLvl w:val="9"/>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default" w:ascii="楷体_GB2312" w:hAnsi="楷体_GB2312" w:eastAsia="楷体_GB2312" w:cs="楷体_GB2312"/>
          <w:b/>
          <w:bCs/>
          <w:color w:val="auto"/>
          <w:kern w:val="2"/>
          <w:sz w:val="32"/>
          <w:szCs w:val="32"/>
          <w:lang w:val="en-US" w:eastAsia="zh-CN" w:bidi="ar-SA"/>
        </w:rPr>
        <w:t>（三）全面加强法治教育，筑牢法治理念。</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多渠道、多形式宣传审计法治建设，落实“谁主管谁普法、谁执法谁普法”主体责任，创造性开展审计法治宣传工作。结合审计执法，强化对被审计单位财经法纪的普法教育；利用重要节日和时间节点，借助审计进点会的时机，向社会各界、各部门、各单位大力宣传《中华人民共和国审计法》和审计机关学法用法依法审计等情况，扩大审计影响。</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578" w:lineRule="exact"/>
        <w:ind w:right="0" w:rightChars="0" w:firstLine="640" w:firstLineChars="200"/>
        <w:textAlignment w:val="auto"/>
        <w:outlineLvl w:val="9"/>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line="578" w:lineRule="exact"/>
        <w:ind w:right="0" w:rightChars="0" w:firstLine="640" w:firstLineChars="200"/>
        <w:textAlignment w:val="auto"/>
        <w:outlineLvl w:val="9"/>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78" w:lineRule="exact"/>
        <w:ind w:right="0" w:rightChars="0"/>
        <w:jc w:val="left"/>
        <w:textAlignment w:val="auto"/>
        <w:outlineLvl w:val="9"/>
        <w:rPr>
          <w:rFonts w:hint="default" w:ascii="Times New Roman" w:hAnsi="Times New Roman" w:eastAsia="仿宋_GB2312" w:cs="Times New Roman"/>
          <w:i w:val="0"/>
          <w:iCs w:val="0"/>
          <w:caps w:val="0"/>
          <w:color w:val="333333"/>
          <w:spacing w:val="0"/>
          <w:kern w:val="0"/>
          <w:sz w:val="32"/>
          <w:szCs w:val="32"/>
          <w:shd w:val="clear" w:color="auto" w:fill="FFFFFF"/>
          <w:lang w:val="en-US" w:eastAsia="zh-CN" w:bidi="ar"/>
        </w:rPr>
      </w:pPr>
    </w:p>
    <w:sectPr>
      <w:footerReference r:id="rId3" w:type="default"/>
      <w:pgSz w:w="11906" w:h="16838"/>
      <w:pgMar w:top="1440" w:right="1800" w:bottom="1440" w:left="1800" w:header="851" w:footer="992" w:gutter="0"/>
      <w:pgNumType w:fmt="decimalFullWidt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84" w:firstLine="206" w:firstLineChars="115"/>
      <w:rPr>
        <w:rStyle w:val="11"/>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284" w:firstLine="552" w:firstLineChars="115"/>
                          </w:pPr>
                          <w:r>
                            <w:rPr>
                              <w:rStyle w:val="11"/>
                              <w:rFonts w:hint="eastAsia" w:ascii="新宋体" w:hAnsi="新宋体" w:eastAsia="新宋体" w:cs="新宋体"/>
                              <w:color w:val="000000"/>
                              <w:spacing w:val="100"/>
                              <w:sz w:val="28"/>
                            </w:rPr>
                            <w:t>—</w:t>
                          </w:r>
                          <w:r>
                            <w:rPr>
                              <w:rFonts w:hint="eastAsia" w:ascii="新宋体" w:hAnsi="新宋体" w:eastAsia="新宋体" w:cs="新宋体"/>
                              <w:color w:val="000000"/>
                              <w:sz w:val="28"/>
                            </w:rPr>
                            <w:fldChar w:fldCharType="begin"/>
                          </w:r>
                          <w:r>
                            <w:rPr>
                              <w:rStyle w:val="11"/>
                              <w:rFonts w:hint="eastAsia" w:ascii="新宋体" w:hAnsi="新宋体" w:eastAsia="新宋体" w:cs="新宋体"/>
                              <w:color w:val="000000"/>
                              <w:sz w:val="28"/>
                            </w:rPr>
                            <w:instrText xml:space="preserve">PAGE  </w:instrText>
                          </w:r>
                          <w:r>
                            <w:rPr>
                              <w:rFonts w:hint="eastAsia" w:ascii="新宋体" w:hAnsi="新宋体" w:eastAsia="新宋体" w:cs="新宋体"/>
                              <w:color w:val="000000"/>
                              <w:sz w:val="28"/>
                            </w:rPr>
                            <w:fldChar w:fldCharType="separate"/>
                          </w:r>
                          <w:r>
                            <w:rPr>
                              <w:rStyle w:val="11"/>
                              <w:rFonts w:hint="eastAsia" w:ascii="新宋体" w:hAnsi="新宋体" w:eastAsia="新宋体" w:cs="新宋体"/>
                              <w:color w:val="000000"/>
                              <w:sz w:val="28"/>
                            </w:rPr>
                            <w:t>１</w:t>
                          </w:r>
                          <w:r>
                            <w:rPr>
                              <w:rFonts w:hint="eastAsia" w:ascii="新宋体" w:hAnsi="新宋体" w:eastAsia="新宋体" w:cs="新宋体"/>
                              <w:color w:val="000000"/>
                              <w:sz w:val="28"/>
                            </w:rPr>
                            <w:fldChar w:fldCharType="end"/>
                          </w:r>
                          <w:r>
                            <w:rPr>
                              <w:rStyle w:val="11"/>
                              <w:rFonts w:hint="eastAsia" w:ascii="新宋体" w:hAnsi="新宋体" w:eastAsia="新宋体" w:cs="新宋体"/>
                              <w:color w:val="000000"/>
                              <w:sz w:val="28"/>
                            </w:rPr>
                            <w:t xml:space="preserve"> </w:t>
                          </w:r>
                          <w:r>
                            <w:rPr>
                              <w:rStyle w:val="11"/>
                              <w:rFonts w:hint="eastAsia" w:ascii="新宋体" w:hAnsi="新宋体" w:eastAsia="新宋体" w:cs="新宋体"/>
                              <w:color w:val="000000"/>
                              <w:spacing w:val="100"/>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ind w:right="284" w:firstLine="552" w:firstLineChars="115"/>
                    </w:pPr>
                    <w:r>
                      <w:rPr>
                        <w:rStyle w:val="11"/>
                        <w:rFonts w:hint="eastAsia" w:ascii="新宋体" w:hAnsi="新宋体" w:eastAsia="新宋体" w:cs="新宋体"/>
                        <w:color w:val="000000"/>
                        <w:spacing w:val="100"/>
                        <w:sz w:val="28"/>
                      </w:rPr>
                      <w:t>—</w:t>
                    </w:r>
                    <w:r>
                      <w:rPr>
                        <w:rFonts w:hint="eastAsia" w:ascii="新宋体" w:hAnsi="新宋体" w:eastAsia="新宋体" w:cs="新宋体"/>
                        <w:color w:val="000000"/>
                        <w:sz w:val="28"/>
                      </w:rPr>
                      <w:fldChar w:fldCharType="begin"/>
                    </w:r>
                    <w:r>
                      <w:rPr>
                        <w:rStyle w:val="11"/>
                        <w:rFonts w:hint="eastAsia" w:ascii="新宋体" w:hAnsi="新宋体" w:eastAsia="新宋体" w:cs="新宋体"/>
                        <w:color w:val="000000"/>
                        <w:sz w:val="28"/>
                      </w:rPr>
                      <w:instrText xml:space="preserve">PAGE  </w:instrText>
                    </w:r>
                    <w:r>
                      <w:rPr>
                        <w:rFonts w:hint="eastAsia" w:ascii="新宋体" w:hAnsi="新宋体" w:eastAsia="新宋体" w:cs="新宋体"/>
                        <w:color w:val="000000"/>
                        <w:sz w:val="28"/>
                      </w:rPr>
                      <w:fldChar w:fldCharType="separate"/>
                    </w:r>
                    <w:r>
                      <w:rPr>
                        <w:rStyle w:val="11"/>
                        <w:rFonts w:hint="eastAsia" w:ascii="新宋体" w:hAnsi="新宋体" w:eastAsia="新宋体" w:cs="新宋体"/>
                        <w:color w:val="000000"/>
                        <w:sz w:val="28"/>
                      </w:rPr>
                      <w:t>１</w:t>
                    </w:r>
                    <w:r>
                      <w:rPr>
                        <w:rFonts w:hint="eastAsia" w:ascii="新宋体" w:hAnsi="新宋体" w:eastAsia="新宋体" w:cs="新宋体"/>
                        <w:color w:val="000000"/>
                        <w:sz w:val="28"/>
                      </w:rPr>
                      <w:fldChar w:fldCharType="end"/>
                    </w:r>
                    <w:r>
                      <w:rPr>
                        <w:rStyle w:val="11"/>
                        <w:rFonts w:hint="eastAsia" w:ascii="新宋体" w:hAnsi="新宋体" w:eastAsia="新宋体" w:cs="新宋体"/>
                        <w:color w:val="000000"/>
                        <w:sz w:val="28"/>
                      </w:rPr>
                      <w:t xml:space="preserve"> </w:t>
                    </w:r>
                    <w:r>
                      <w:rPr>
                        <w:rStyle w:val="11"/>
                        <w:rFonts w:hint="eastAsia" w:ascii="新宋体" w:hAnsi="新宋体" w:eastAsia="新宋体" w:cs="新宋体"/>
                        <w:color w:val="000000"/>
                        <w:spacing w:val="100"/>
                        <w:sz w:val="28"/>
                      </w:rPr>
                      <w:t>—</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EE00C"/>
    <w:multiLevelType w:val="singleLevel"/>
    <w:tmpl w:val="696EE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ZjdlYWZkNDk2Njc4MGIzNmE3OTQ4OWQyMjM4OTIifQ=="/>
  </w:docVars>
  <w:rsids>
    <w:rsidRoot w:val="00000000"/>
    <w:rsid w:val="002D0A4F"/>
    <w:rsid w:val="01AD071C"/>
    <w:rsid w:val="041C6F4E"/>
    <w:rsid w:val="0AE70F45"/>
    <w:rsid w:val="0F933B9D"/>
    <w:rsid w:val="1105322F"/>
    <w:rsid w:val="11A45C86"/>
    <w:rsid w:val="1283026C"/>
    <w:rsid w:val="13674C31"/>
    <w:rsid w:val="150A4793"/>
    <w:rsid w:val="155B6F0B"/>
    <w:rsid w:val="197B7B7C"/>
    <w:rsid w:val="1B661467"/>
    <w:rsid w:val="1D69418F"/>
    <w:rsid w:val="1E5C2959"/>
    <w:rsid w:val="1EF13976"/>
    <w:rsid w:val="1FAB7D05"/>
    <w:rsid w:val="21D9487E"/>
    <w:rsid w:val="258424AE"/>
    <w:rsid w:val="25E45AB4"/>
    <w:rsid w:val="266B5800"/>
    <w:rsid w:val="282A6A75"/>
    <w:rsid w:val="29FC3E61"/>
    <w:rsid w:val="2A064D02"/>
    <w:rsid w:val="2A7D01C3"/>
    <w:rsid w:val="2D12214D"/>
    <w:rsid w:val="2EAC5B49"/>
    <w:rsid w:val="307B6E59"/>
    <w:rsid w:val="3271734E"/>
    <w:rsid w:val="33862158"/>
    <w:rsid w:val="3C291600"/>
    <w:rsid w:val="3CBF16C6"/>
    <w:rsid w:val="3FFF4431"/>
    <w:rsid w:val="43911CDE"/>
    <w:rsid w:val="46256F3D"/>
    <w:rsid w:val="4C2F0FAE"/>
    <w:rsid w:val="4C8C0BFE"/>
    <w:rsid w:val="4CC43A0B"/>
    <w:rsid w:val="4E606738"/>
    <w:rsid w:val="4ECD6554"/>
    <w:rsid w:val="548E725E"/>
    <w:rsid w:val="568E123C"/>
    <w:rsid w:val="58873140"/>
    <w:rsid w:val="58C064AB"/>
    <w:rsid w:val="592A1E53"/>
    <w:rsid w:val="5BAC73B5"/>
    <w:rsid w:val="5DD36DFC"/>
    <w:rsid w:val="61BD7BD2"/>
    <w:rsid w:val="62C54F90"/>
    <w:rsid w:val="650A6555"/>
    <w:rsid w:val="65654809"/>
    <w:rsid w:val="66686491"/>
    <w:rsid w:val="674C7A2E"/>
    <w:rsid w:val="68D638E2"/>
    <w:rsid w:val="69D658CA"/>
    <w:rsid w:val="6B1940CB"/>
    <w:rsid w:val="720158B9"/>
    <w:rsid w:val="732C0596"/>
    <w:rsid w:val="74F70A9A"/>
    <w:rsid w:val="764D3DBC"/>
    <w:rsid w:val="76AF3B36"/>
    <w:rsid w:val="775A287B"/>
    <w:rsid w:val="781E4C06"/>
    <w:rsid w:val="7A0F14BB"/>
    <w:rsid w:val="7B4C5C3B"/>
    <w:rsid w:val="7C3A7CDC"/>
    <w:rsid w:val="7DD93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spacing w:before="100" w:beforeAutospacing="1"/>
      <w:ind w:left="0" w:firstLine="420" w:firstLineChars="200"/>
    </w:pPr>
    <w:rPr>
      <w:rFonts w:ascii="Times New Roman" w:hAnsi="Times New Roman" w:eastAsia="宋体"/>
      <w:sz w:val="21"/>
      <w:szCs w:val="21"/>
    </w:rPr>
  </w:style>
  <w:style w:type="paragraph" w:customStyle="1" w:styleId="3">
    <w:name w:val="Body Text Indent"/>
    <w:basedOn w:val="1"/>
    <w:qFormat/>
    <w:uiPriority w:val="0"/>
    <w:pPr>
      <w:spacing w:after="120"/>
      <w:ind w:left="420" w:leftChars="200"/>
    </w:pPr>
  </w:style>
  <w:style w:type="paragraph" w:styleId="4">
    <w:name w:val="Normal Indent"/>
    <w:basedOn w:val="1"/>
    <w:qFormat/>
    <w:uiPriority w:val="0"/>
    <w:pPr>
      <w:ind w:firstLine="420"/>
    </w:pPr>
    <w:rPr>
      <w:rFonts w:hint="eastAsia"/>
    </w:rPr>
  </w:style>
  <w:style w:type="paragraph" w:styleId="5">
    <w:name w:val="Body Text"/>
    <w:basedOn w:val="1"/>
    <w:next w:val="1"/>
    <w:qFormat/>
    <w:uiPriority w:val="0"/>
    <w:pPr>
      <w:snapToGrid w:val="0"/>
      <w:spacing w:line="579" w:lineRule="exact"/>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2679</Words>
  <Characters>2703</Characters>
  <Lines>0</Lines>
  <Paragraphs>0</Paragraphs>
  <TotalTime>2</TotalTime>
  <ScaleCrop>false</ScaleCrop>
  <LinksUpToDate>false</LinksUpToDate>
  <CharactersWithSpaces>2703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2023-03-23T02:39:00Z</dcterms:created>
  <dc:creator>ADMIN-685432135</dc:creator>
  <cp:lastModifiedBy>lenovo</cp:lastModifiedBy>
  <cp:lastPrinted>2026-01-21T01:45:00Z</cp:lastPrinted>
  <dcterms:modified xsi:type="dcterms:W3CDTF">2026-02-02T01:41:51Z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7E7FEE54ED8940C48DF31B8E36A2913B_13</vt:lpwstr>
  </property>
</Properties>
</file>