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left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湖滨区审计局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年度行政执法统计年报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/>
        <w:jc w:val="left"/>
        <w:rPr>
          <w:rFonts w:hint="eastAsia" w:ascii="微软雅黑" w:hAnsi="微软雅黑" w:eastAsia="微软雅黑" w:cs="微软雅黑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2560" w:firstLineChars="800"/>
        <w:jc w:val="both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    </w:t>
      </w: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目   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/>
        <w:jc w:val="left"/>
        <w:rPr>
          <w:rFonts w:hint="eastAsia" w:ascii="方正楷体_GB2312" w:hAnsi="方正楷体_GB2312" w:eastAsia="方正楷体_GB2312" w:cs="方正楷体_GB2312"/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第一部分 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湖滨区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审计局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2025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年度行政执法数据表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一、行政处罚实施情况统计表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二、行政许可实施情况统计表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三、行政强制实施情况统计表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四、其他行政执法行为实施情况统计表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 xml:space="preserve">第二部分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湖滨区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审计局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2025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年度行政执法总体情况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/>
        <w:jc w:val="left"/>
        <w:rPr>
          <w:rFonts w:hint="eastAsia" w:ascii="微软雅黑" w:hAnsi="微软雅黑" w:eastAsia="微软雅黑" w:cs="微软雅黑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湖滨区审计局2025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年度行政执法数据表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420" w:leftChars="0" w:right="0" w:rightChars="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表一</w:t>
      </w:r>
    </w:p>
    <w:p>
      <w:pPr>
        <w:jc w:val="center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湖滨区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审计局2025</w:t>
      </w:r>
      <w:r>
        <w:rPr>
          <w:rFonts w:hint="eastAsia" w:ascii="黑体" w:hAnsi="黑体" w:eastAsia="黑体"/>
          <w:color w:val="auto"/>
          <w:sz w:val="32"/>
          <w:szCs w:val="32"/>
        </w:rPr>
        <w:t>年度行政处罚实施情况统计表</w:t>
      </w:r>
    </w:p>
    <w:tbl>
      <w:tblPr>
        <w:tblStyle w:val="5"/>
        <w:tblpPr w:leftFromText="180" w:rightFromText="180" w:vertAnchor="text" w:tblpXSpec="center" w:tblpY="59"/>
        <w:tblW w:w="109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1080"/>
        <w:gridCol w:w="1392"/>
        <w:gridCol w:w="1090"/>
        <w:gridCol w:w="1090"/>
        <w:gridCol w:w="1090"/>
        <w:gridCol w:w="918"/>
        <w:gridCol w:w="1080"/>
        <w:gridCol w:w="1275"/>
        <w:gridCol w:w="10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904" w:type="dxa"/>
            <w:gridSpan w:val="1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行政处罚实施数量（宗）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798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警告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罚款</w:t>
            </w:r>
          </w:p>
        </w:tc>
        <w:tc>
          <w:tcPr>
            <w:tcW w:w="1392" w:type="dxa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没收违法</w:t>
            </w:r>
          </w:p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所得、没收</w:t>
            </w:r>
          </w:p>
          <w:p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非法财物</w:t>
            </w:r>
          </w:p>
        </w:tc>
        <w:tc>
          <w:tcPr>
            <w:tcW w:w="1090" w:type="dxa"/>
            <w:vAlign w:val="center"/>
          </w:tcPr>
          <w:p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暂扣许可证、执照</w:t>
            </w:r>
          </w:p>
        </w:tc>
        <w:tc>
          <w:tcPr>
            <w:tcW w:w="1090" w:type="dxa"/>
            <w:vAlign w:val="center"/>
          </w:tcPr>
          <w:p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责令停产停业</w:t>
            </w:r>
          </w:p>
        </w:tc>
        <w:tc>
          <w:tcPr>
            <w:tcW w:w="1090" w:type="dxa"/>
            <w:vAlign w:val="center"/>
          </w:tcPr>
          <w:p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吊销许可证、执照</w:t>
            </w:r>
          </w:p>
        </w:tc>
        <w:tc>
          <w:tcPr>
            <w:tcW w:w="918" w:type="dxa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行政</w:t>
            </w:r>
          </w:p>
          <w:p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拘留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其他行政处罚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合计（宗）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罚没金额（万元）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  <w:vAlign w:val="top"/>
          </w:tcPr>
          <w:p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392" w:type="dxa"/>
            <w:vAlign w:val="top"/>
          </w:tcPr>
          <w:p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090" w:type="dxa"/>
            <w:vAlign w:val="top"/>
          </w:tcPr>
          <w:p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090" w:type="dxa"/>
            <w:vAlign w:val="top"/>
          </w:tcPr>
          <w:p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090" w:type="dxa"/>
            <w:vAlign w:val="top"/>
          </w:tcPr>
          <w:p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918" w:type="dxa"/>
            <w:vAlign w:val="top"/>
          </w:tcPr>
          <w:p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275" w:type="dxa"/>
            <w:vAlign w:val="top"/>
          </w:tcPr>
          <w:p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091" w:type="dxa"/>
            <w:vAlign w:val="top"/>
          </w:tcPr>
          <w:p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</w:tbl>
    <w:p>
      <w:pPr>
        <w:jc w:val="center"/>
        <w:rPr>
          <w:rFonts w:ascii="仿宋_GB2312" w:eastAsia="仿宋_GB2312"/>
          <w:color w:val="auto"/>
          <w:sz w:val="24"/>
        </w:rPr>
      </w:pPr>
    </w:p>
    <w:p>
      <w:pPr>
        <w:rPr>
          <w:rFonts w:ascii="仿宋_GB2312" w:eastAsia="仿宋_GB2312"/>
          <w:color w:val="auto"/>
          <w:sz w:val="24"/>
        </w:rPr>
      </w:pPr>
    </w:p>
    <w:p>
      <w:pPr>
        <w:rPr>
          <w:rFonts w:hint="eastAsia" w:ascii="仿宋_GB2312" w:eastAsia="仿宋_GB2312"/>
          <w:color w:val="auto"/>
          <w:sz w:val="24"/>
        </w:rPr>
      </w:pPr>
    </w:p>
    <w:p>
      <w:pPr>
        <w:rPr>
          <w:rFonts w:hint="eastAsia" w:ascii="仿宋_GB2312" w:eastAsia="仿宋_GB2312"/>
          <w:color w:val="auto"/>
          <w:sz w:val="24"/>
        </w:rPr>
      </w:pPr>
    </w:p>
    <w:p>
      <w:pPr>
        <w:rPr>
          <w:rFonts w:hint="eastAsia" w:ascii="仿宋_GB2312" w:eastAsia="仿宋_GB2312"/>
          <w:color w:val="auto"/>
          <w:sz w:val="24"/>
        </w:rPr>
      </w:pPr>
    </w:p>
    <w:p>
      <w:pPr>
        <w:rPr>
          <w:rFonts w:hint="eastAsia" w:ascii="仿宋_GB2312" w:eastAsia="仿宋_GB2312"/>
          <w:color w:val="auto"/>
          <w:sz w:val="24"/>
        </w:rPr>
      </w:pPr>
    </w:p>
    <w:p>
      <w:pPr>
        <w:rPr>
          <w:rFonts w:hint="eastAsia" w:ascii="仿宋_GB2312" w:eastAsia="仿宋_GB2312"/>
          <w:color w:val="auto"/>
          <w:sz w:val="24"/>
        </w:rPr>
      </w:pPr>
    </w:p>
    <w:p>
      <w:pPr>
        <w:rPr>
          <w:rFonts w:hint="eastAsia" w:ascii="仿宋_GB2312" w:eastAsia="仿宋_GB2312"/>
          <w:color w:val="auto"/>
          <w:sz w:val="24"/>
        </w:rPr>
      </w:pPr>
    </w:p>
    <w:p>
      <w:pPr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说明：</w:t>
      </w:r>
    </w:p>
    <w:p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1.行政处罚实施数量的统计范围为统计年度1月1日至12月31日期间作出行政处罚决定的数量。</w:t>
      </w:r>
    </w:p>
    <w:p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2.单处一个类别行政处罚的，计入相应的行政处罚类别；并处两种以上行政处罚的，算一宗行政处罚，计入最重的行政处罚类别。如“没收违法所得，并处罚款”，计入“没收违法所得、没收非法财物”类别；并处明确类别的行政处罚和其他行政处罚的，计入明确类别的行政处罚，如“处罚款，并处其他行政处罚”，计入“罚款”类别。行政处罚类别从轻到重的顺序：（1）警告，（2）罚款，（3）没收违法所得、没收非法财物，（4）暂扣许可证、执照，（5）责令停产停业，（6）吊销许可证、执照，（7）行政拘留。</w:t>
      </w:r>
    </w:p>
    <w:p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3.“没收违法所得、没收非法财物”能确定金额的，计入“罚没金额”；不能确定金额的，不计入“罚没金额”。</w:t>
      </w:r>
    </w:p>
    <w:p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4.“罚没金额”以处罚决定书确定的金额为准。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表二</w:t>
      </w:r>
    </w:p>
    <w:p>
      <w:pPr>
        <w:jc w:val="center"/>
        <w:rPr>
          <w:rFonts w:hint="eastAsia" w:ascii="黑体" w:hAnsi="黑体" w:eastAsia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湖滨区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审计局2025</w:t>
      </w:r>
      <w:r>
        <w:rPr>
          <w:rFonts w:hint="eastAsia" w:ascii="黑体" w:hAnsi="黑体" w:eastAsia="黑体"/>
          <w:color w:val="auto"/>
          <w:sz w:val="32"/>
          <w:szCs w:val="32"/>
        </w:rPr>
        <w:t>年度行政许可实施情况统计表</w:t>
      </w:r>
    </w:p>
    <w:p>
      <w:pPr>
        <w:rPr>
          <w:rFonts w:ascii="仿宋_GB2312" w:eastAsia="仿宋_GB2312"/>
          <w:sz w:val="32"/>
          <w:szCs w:val="32"/>
        </w:rPr>
      </w:pPr>
    </w:p>
    <w:tbl>
      <w:tblPr>
        <w:tblStyle w:val="5"/>
        <w:tblW w:w="866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980"/>
        <w:gridCol w:w="1800"/>
        <w:gridCol w:w="1620"/>
        <w:gridCol w:w="16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66" w:type="dxa"/>
            <w:gridSpan w:val="5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行政许可实施数量（宗）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0" w:type="dxa"/>
            <w:vAlign w:val="top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申请数量</w:t>
            </w:r>
          </w:p>
        </w:tc>
        <w:tc>
          <w:tcPr>
            <w:tcW w:w="1980" w:type="dxa"/>
            <w:vAlign w:val="top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受理数量</w:t>
            </w:r>
          </w:p>
        </w:tc>
        <w:tc>
          <w:tcPr>
            <w:tcW w:w="1800" w:type="dxa"/>
            <w:vAlign w:val="top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许可数量</w:t>
            </w:r>
          </w:p>
        </w:tc>
        <w:tc>
          <w:tcPr>
            <w:tcW w:w="1620" w:type="dxa"/>
            <w:vAlign w:val="top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不予许可数量</w:t>
            </w:r>
          </w:p>
        </w:tc>
        <w:tc>
          <w:tcPr>
            <w:tcW w:w="1646" w:type="dxa"/>
            <w:vAlign w:val="top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撤销许可数量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0" w:type="dxa"/>
            <w:vAlign w:val="top"/>
          </w:tcPr>
          <w:p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980" w:type="dxa"/>
            <w:vAlign w:val="top"/>
          </w:tcPr>
          <w:p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800" w:type="dxa"/>
            <w:vAlign w:val="top"/>
          </w:tcPr>
          <w:p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620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646" w:type="dxa"/>
            <w:vAlign w:val="top"/>
          </w:tcPr>
          <w:p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</w:tr>
    </w:tbl>
    <w:p>
      <w:pPr>
        <w:rPr>
          <w:rFonts w:ascii="仿宋_GB2312" w:eastAsia="仿宋_GB2312"/>
          <w:sz w:val="24"/>
        </w:rPr>
      </w:pPr>
    </w:p>
    <w:p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说明：</w:t>
      </w:r>
    </w:p>
    <w:p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1.“申请数量”的统计范围为统计年度1月1日至12月31日期间许可机关收到当事人许可申请的数量。</w:t>
      </w:r>
    </w:p>
    <w:p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2.“受理数量”、“许可数量”、“不予许可数量”、“撤销许可数量”的统计范围为统计年度1月1日至12月31日期间许可机关作出受理决定、许可决定、不予许可决定和撤销许可决定的数量。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>
      <w:pPr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表三</w:t>
      </w:r>
    </w:p>
    <w:p>
      <w:pPr>
        <w:jc w:val="center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湖滨区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审计局2025</w:t>
      </w:r>
      <w:r>
        <w:rPr>
          <w:rFonts w:hint="eastAsia" w:ascii="黑体" w:hAnsi="黑体" w:eastAsia="黑体"/>
          <w:color w:val="auto"/>
          <w:sz w:val="32"/>
          <w:szCs w:val="32"/>
        </w:rPr>
        <w:t>年度行政强制实施情况统计表</w:t>
      </w:r>
    </w:p>
    <w:p>
      <w:pPr>
        <w:rPr>
          <w:rFonts w:ascii="仿宋_GB2312" w:eastAsia="仿宋_GB2312"/>
          <w:color w:val="auto"/>
          <w:sz w:val="32"/>
          <w:szCs w:val="32"/>
        </w:rPr>
      </w:pPr>
    </w:p>
    <w:tbl>
      <w:tblPr>
        <w:tblStyle w:val="5"/>
        <w:tblW w:w="1199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0"/>
        <w:gridCol w:w="1090"/>
        <w:gridCol w:w="1090"/>
        <w:gridCol w:w="1090"/>
        <w:gridCol w:w="948"/>
        <w:gridCol w:w="900"/>
        <w:gridCol w:w="1440"/>
        <w:gridCol w:w="1080"/>
        <w:gridCol w:w="900"/>
        <w:gridCol w:w="900"/>
        <w:gridCol w:w="900"/>
        <w:gridCol w:w="5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0" w:type="dxa"/>
            <w:gridSpan w:val="4"/>
            <w:vAlign w:val="top"/>
          </w:tcPr>
          <w:p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行政强制措施实施数量（宗）</w:t>
            </w:r>
          </w:p>
        </w:tc>
        <w:tc>
          <w:tcPr>
            <w:tcW w:w="7068" w:type="dxa"/>
            <w:gridSpan w:val="7"/>
            <w:vAlign w:val="top"/>
          </w:tcPr>
          <w:p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行政强制执行实施数量（宗）</w:t>
            </w:r>
          </w:p>
        </w:tc>
        <w:tc>
          <w:tcPr>
            <w:tcW w:w="566" w:type="dxa"/>
            <w:vMerge w:val="restart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0" w:type="dxa"/>
            <w:vMerge w:val="restart"/>
            <w:vAlign w:val="center"/>
          </w:tcPr>
          <w:p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查封场所、设施或者财物</w:t>
            </w:r>
          </w:p>
        </w:tc>
        <w:tc>
          <w:tcPr>
            <w:tcW w:w="1090" w:type="dxa"/>
            <w:vMerge w:val="restart"/>
            <w:vAlign w:val="center"/>
          </w:tcPr>
          <w:p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扣押财物</w:t>
            </w:r>
          </w:p>
        </w:tc>
        <w:tc>
          <w:tcPr>
            <w:tcW w:w="1090" w:type="dxa"/>
            <w:vMerge w:val="restart"/>
            <w:vAlign w:val="center"/>
          </w:tcPr>
          <w:p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冻结存款、汇款</w:t>
            </w:r>
          </w:p>
        </w:tc>
        <w:tc>
          <w:tcPr>
            <w:tcW w:w="1090" w:type="dxa"/>
            <w:vMerge w:val="restart"/>
            <w:vAlign w:val="center"/>
          </w:tcPr>
          <w:p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其他行政强制措施</w:t>
            </w:r>
          </w:p>
        </w:tc>
        <w:tc>
          <w:tcPr>
            <w:tcW w:w="6168" w:type="dxa"/>
            <w:gridSpan w:val="6"/>
            <w:vAlign w:val="center"/>
          </w:tcPr>
          <w:p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eastAsia="楷体_GB2312" w:cs="宋体"/>
                <w:b/>
                <w:color w:val="auto"/>
                <w:kern w:val="0"/>
                <w:szCs w:val="21"/>
              </w:rPr>
              <w:t>行政机关强制执行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申请法院强制执行</w:t>
            </w:r>
          </w:p>
        </w:tc>
        <w:tc>
          <w:tcPr>
            <w:tcW w:w="566" w:type="dxa"/>
            <w:vMerge w:val="continue"/>
            <w:vAlign w:val="top"/>
          </w:tcPr>
          <w:p>
            <w:pPr>
              <w:rPr>
                <w:rFonts w:ascii="楷体_GB2312" w:eastAsia="楷体_GB2312"/>
                <w:b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</w:p>
        </w:tc>
        <w:tc>
          <w:tcPr>
            <w:tcW w:w="109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</w:p>
        </w:tc>
        <w:tc>
          <w:tcPr>
            <w:tcW w:w="109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</w:p>
        </w:tc>
        <w:tc>
          <w:tcPr>
            <w:tcW w:w="109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加处罚款或者滞纳金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划拨存款、汇款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拍卖或者依法处理查封、扣押的场所、设施或者财物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排除妨碍、恢复原状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代履行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其他强制执行</w:t>
            </w:r>
          </w:p>
        </w:tc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</w:p>
        </w:tc>
        <w:tc>
          <w:tcPr>
            <w:tcW w:w="566" w:type="dxa"/>
            <w:vMerge w:val="continue"/>
            <w:vAlign w:val="top"/>
          </w:tcPr>
          <w:p>
            <w:pPr>
              <w:rPr>
                <w:rFonts w:ascii="楷体_GB2312" w:eastAsia="楷体_GB2312"/>
                <w:b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0" w:type="dxa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090" w:type="dxa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090" w:type="dxa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090" w:type="dxa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948" w:type="dxa"/>
            <w:vAlign w:val="center"/>
          </w:tcPr>
          <w:p>
            <w:pPr>
              <w:widowControl/>
              <w:jc w:val="center"/>
              <w:rPr>
                <w:rFonts w:hint="default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hint="default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6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3</w:t>
            </w:r>
          </w:p>
        </w:tc>
      </w:tr>
    </w:tbl>
    <w:p>
      <w:pPr>
        <w:rPr>
          <w:rFonts w:ascii="仿宋_GB2312" w:eastAsia="仿宋_GB2312"/>
          <w:color w:val="auto"/>
          <w:sz w:val="24"/>
        </w:rPr>
      </w:pPr>
    </w:p>
    <w:p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说明：</w:t>
      </w:r>
    </w:p>
    <w:p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1.“行政强制措施实施数量”的统计范围为统计年度1月1日至12月31日期间作出“查封场所、设施或者财物”、“扣押</w:t>
      </w:r>
      <w:r>
        <w:rPr>
          <w:rFonts w:hint="eastAsia" w:ascii="仿宋_GB2312" w:eastAsia="仿宋_GB2312"/>
          <w:color w:val="auto"/>
          <w:sz w:val="24"/>
          <w:lang w:eastAsia="zh-CN"/>
        </w:rPr>
        <w:t>财物</w:t>
      </w:r>
      <w:r>
        <w:rPr>
          <w:rFonts w:hint="eastAsia" w:ascii="仿宋_GB2312" w:eastAsia="仿宋_GB2312"/>
          <w:color w:val="auto"/>
          <w:sz w:val="24"/>
        </w:rPr>
        <w:t>”、“冻结存款、汇款”或者“其他行政强制措施”决定的数量。</w:t>
      </w:r>
    </w:p>
    <w:p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2.“行政强制执行实施数量” 的统计范围为统计年度1月1日至12月31日期间“加处罚款或者滞纳金”、“划拨存款、汇款”、“拍卖或者依法处理查封、扣押的场所、设施或者财物”、“排除妨碍、恢复原状”、“代履行”和“其他强制执行”等执行完毕或者终结执行的数量。</w:t>
      </w:r>
    </w:p>
    <w:p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3.“申请法院强制执行”数量的统计范围为统计年度1月1日至12月31日期间向法院申请强制执行的数量，时间以申请日期为准。</w:t>
      </w:r>
    </w:p>
    <w:p>
      <w:pPr>
        <w:rPr>
          <w:rFonts w:ascii="仿宋_GB2312" w:eastAsia="仿宋_GB2312"/>
          <w:color w:val="auto"/>
          <w:sz w:val="24"/>
        </w:rPr>
      </w:pPr>
    </w:p>
    <w:p>
      <w:pPr/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表四</w:t>
      </w:r>
    </w:p>
    <w:p>
      <w:pPr>
        <w:jc w:val="center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湖滨区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审计局2025</w:t>
      </w:r>
      <w:r>
        <w:rPr>
          <w:rFonts w:hint="eastAsia" w:ascii="黑体" w:hAnsi="黑体" w:eastAsia="黑体"/>
          <w:color w:val="auto"/>
          <w:sz w:val="32"/>
          <w:szCs w:val="32"/>
        </w:rPr>
        <w:t>年度其他行政执法行为实施情况统计表</w:t>
      </w:r>
    </w:p>
    <w:p>
      <w:pPr>
        <w:rPr>
          <w:rFonts w:ascii="仿宋_GB2312" w:eastAsia="仿宋_GB2312"/>
          <w:sz w:val="32"/>
          <w:szCs w:val="32"/>
        </w:rPr>
      </w:pPr>
    </w:p>
    <w:tbl>
      <w:tblPr>
        <w:tblStyle w:val="5"/>
        <w:tblW w:w="124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440"/>
        <w:gridCol w:w="1080"/>
        <w:gridCol w:w="900"/>
        <w:gridCol w:w="1440"/>
        <w:gridCol w:w="720"/>
        <w:gridCol w:w="1440"/>
        <w:gridCol w:w="1080"/>
        <w:gridCol w:w="960"/>
        <w:gridCol w:w="1200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40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行政征收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行政检查</w:t>
            </w:r>
          </w:p>
        </w:tc>
        <w:tc>
          <w:tcPr>
            <w:tcW w:w="2340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行政裁决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行政给付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行政确认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行政奖励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其他行政执法行为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征收总金额（万元）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涉及金额</w:t>
            </w:r>
          </w:p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（万元）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给付总金额（万元）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奖励总金额（万元）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宗数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vAlign w:val="top"/>
          </w:tcPr>
          <w:p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440" w:type="dxa"/>
            <w:vAlign w:val="top"/>
          </w:tcPr>
          <w:p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080" w:type="dxa"/>
            <w:vAlign w:val="top"/>
          </w:tcPr>
          <w:p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9</w:t>
            </w:r>
          </w:p>
        </w:tc>
        <w:tc>
          <w:tcPr>
            <w:tcW w:w="900" w:type="dxa"/>
            <w:vAlign w:val="top"/>
          </w:tcPr>
          <w:p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440" w:type="dxa"/>
            <w:vAlign w:val="top"/>
          </w:tcPr>
          <w:p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vAlign w:val="top"/>
          </w:tcPr>
          <w:p>
            <w:pPr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440" w:type="dxa"/>
            <w:vAlign w:val="top"/>
          </w:tcPr>
          <w:p>
            <w:pPr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080" w:type="dxa"/>
            <w:vAlign w:val="top"/>
          </w:tcPr>
          <w:p>
            <w:pPr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960" w:type="dxa"/>
            <w:vAlign w:val="top"/>
          </w:tcPr>
          <w:p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200" w:type="dxa"/>
            <w:vAlign w:val="top"/>
          </w:tcPr>
          <w:p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260" w:type="dxa"/>
            <w:vAlign w:val="top"/>
          </w:tcPr>
          <w:p>
            <w:pPr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</w:tr>
    </w:tbl>
    <w:p>
      <w:pPr>
        <w:rPr>
          <w:rFonts w:ascii="仿宋_GB2312" w:eastAsia="仿宋_GB2312"/>
          <w:sz w:val="24"/>
        </w:rPr>
      </w:pPr>
    </w:p>
    <w:p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说明：</w:t>
      </w:r>
    </w:p>
    <w:p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1.“行政征收次数”的统计范围为统计年度1月1日至12月31日期间征收完毕的数量。</w:t>
      </w:r>
    </w:p>
    <w:p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.“行政检查次数”的统计范围为统计年度1月1日至12月31日期间开展行政检查的次数。检查1个检查对象，有完整、详细的检查记录，计为检查1次。无特定检查对象的巡查、巡逻，无完整、详细检查记录，检查后作出行政处罚等其他行政执法行为的，均不计为检查次数。</w:t>
      </w:r>
    </w:p>
    <w:p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3.“行政裁决次数”、“行政确认次数”、“行政奖励次数”的统计范围为统计年度1月1日至12月31日期间作出行政裁决、行政确认、行政奖励决定的数量。</w:t>
      </w:r>
    </w:p>
    <w:p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4.“</w:t>
      </w:r>
      <w:r>
        <w:rPr>
          <w:rFonts w:hint="eastAsia" w:eastAsia="仿宋_GB2312"/>
          <w:sz w:val="24"/>
        </w:rPr>
        <w:t>行政给付次数</w:t>
      </w:r>
      <w:r>
        <w:rPr>
          <w:rFonts w:hint="eastAsia" w:ascii="仿宋_GB2312" w:eastAsia="仿宋_GB2312"/>
          <w:sz w:val="24"/>
        </w:rPr>
        <w:t>”的统计范围为统计年度1月1日至12月31日期间给付完毕的数量。</w:t>
      </w:r>
    </w:p>
    <w:p>
      <w:pPr>
        <w:ind w:firstLine="480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/>
          <w:sz w:val="24"/>
        </w:rPr>
        <w:t>5.“其他行政执法行为”的统计范围为统计年度1月1日至12月31日期间完成的宗数。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 xml:space="preserve">第二部分 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湖滨区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审计局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年度行政执法情况说明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一、行政处罚实施情况说明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年度行政处罚总数为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宗，罚没收入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二、行政许可实施情况说明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度行政许可申请总数为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宗，予以许可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宗。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三、行政强制实施情况说明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年度行政强制总数为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宗。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四、行政征收实施情况说明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年度行政征收总数为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次，征收总金额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五、行政检查实施情况说明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年度行政检查总数为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次。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六、行政裁决实施情况说明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年度行政裁决总数为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次，涉及总金额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七、行政给付实施情况说明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年度行政给付总数为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次，给付总金额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八、行政确认实施情况说明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年度行政确认总数为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次。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九、行政奖励实施情况说明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年度行政奖励总数为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次。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十、其他行政执法行为实施情况说明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年度其他行政执法行为总数为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宗。</w:t>
      </w: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AE26E0E-5F0B-41B6-920B-CE49B0E12EB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4002EFF" w:usb1="C000247B" w:usb2="00000009" w:usb3="00000000" w:csb0="200001FF" w:csb1="00000000"/>
    <w:embedRegular r:id="rId2" w:fontKey="{E74C2EB5-40CA-4867-B342-8E87902AAA66}"/>
  </w:font>
  <w:font w:name="Arial">
    <w:panose1 w:val="020B0604020202020204"/>
    <w:charset w:val="01"/>
    <w:family w:val="decorative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  <w:embedRegular r:id="rId3" w:fontKey="{C7D3C739-EE70-4107-90C6-A8F7A15942C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646DDA22-1F36-4570-B482-20F5E884CE38}"/>
  </w:font>
  <w:font w:name="方正楷体_GB2312">
    <w:panose1 w:val="02000000000000000000"/>
    <w:charset w:val="86"/>
    <w:family w:val="auto"/>
    <w:pitch w:val="default"/>
    <w:sig w:usb0="00000000" w:usb1="00000000" w:usb2="00000000" w:usb3="00000000" w:csb0="00000000" w:csb1="00000000"/>
    <w:embedRegular r:id="rId5" w:fontKey="{7B7E9681-0388-4A20-A357-4FDF057708C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80A5EF9C-1057-48F6-B9E2-62B6F4C44307}"/>
  </w:font>
  <w:font w:name="楷体_GB2312">
    <w:panose1 w:val="02010609030101010101"/>
    <w:charset w:val="86"/>
    <w:family w:val="swiss"/>
    <w:pitch w:val="default"/>
    <w:sig w:usb0="00000000" w:usb1="00000000" w:usb2="00000000" w:usb3="00000000" w:csb0="00000000" w:csb1="00000000"/>
    <w:embedRegular r:id="rId7" w:fontKey="{CFBD022B-3E8B-4D4E-832F-1AB994310E2B}"/>
  </w:font>
  <w:font w:name="WPSEMBED1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WPSEMBED2">
    <w:altName w:val="宋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Cambria">
    <w:panose1 w:val="02040503050406030204"/>
    <w:charset w:val="00"/>
    <w:family w:val="swiss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roman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roman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decorative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2578310343">
    <w:nsid w:val="99ADE4C7"/>
    <w:multiLevelType w:val="singleLevel"/>
    <w:tmpl w:val="99ADE4C7"/>
    <w:lvl w:ilvl="0" w:tentative="1">
      <w:start w:val="1"/>
      <w:numFmt w:val="chineseCounting"/>
      <w:suff w:val="space"/>
      <w:lvlText w:val="第%1部分"/>
      <w:lvlJc w:val="left"/>
      <w:rPr>
        <w:rFonts w:hint="eastAsia"/>
      </w:rPr>
    </w:lvl>
  </w:abstractNum>
  <w:num w:numId="1">
    <w:abstractNumId w:val="25783103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5NjIwM2NiOGRiMGVhY2MzNTAzOWM3NDU5ODQ3YmYifQ=="/>
  </w:docVars>
  <w:rsids>
    <w:rsidRoot w:val="21094EC8"/>
    <w:rsid w:val="21094EC8"/>
    <w:rsid w:val="36060A7D"/>
    <w:rsid w:val="3BC779C2"/>
    <w:rsid w:val="40392245"/>
    <w:rsid w:val="442858E1"/>
    <w:rsid w:val="47EB7595"/>
    <w:rsid w:val="4CEA2347"/>
    <w:rsid w:val="583B7EFB"/>
    <w:rsid w:val="5BB55A3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1975</Words>
  <Characters>2077</Characters>
  <Lines>0</Lines>
  <Paragraphs>0</Paragraphs>
  <TotalTime>0</TotalTime>
  <ScaleCrop>false</ScaleCrop>
  <LinksUpToDate>false</LinksUpToDate>
  <CharactersWithSpaces>2108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2023-11-12T08:58:00Z</dcterms:created>
  <dc:creator>克克</dc:creator>
  <cp:lastModifiedBy>DELL</cp:lastModifiedBy>
  <dcterms:modified xsi:type="dcterms:W3CDTF">2026-01-21T01:02:56Z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  <property fmtid="{D5CDD505-2E9C-101B-9397-08002B2CF9AE}" pid="3" name="ICV">
    <vt:lpwstr>9BE12710475D43399680F36C6F43803E_13</vt:lpwstr>
  </property>
  <property fmtid="{D5CDD505-2E9C-101B-9397-08002B2CF9AE}" pid="4" name="KSOTemplateDocerSaveRecord">
    <vt:lpwstr>eyJoZGlkIjoiYzU5NjIwM2NiOGRiMGVhY2MzNTAzOWM3NDU5ODQ3YmYiLCJ1c2VySWQiOiI1NDM4ODg3MzYifQ==</vt:lpwstr>
  </property>
</Properties>
</file>