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06629">
      <w:pPr>
        <w:jc w:val="center"/>
        <w:rPr>
          <w:rFonts w:ascii="宋体" w:hAnsi="宋体" w:eastAsia="宋体"/>
          <w:sz w:val="44"/>
        </w:rPr>
      </w:pPr>
      <w:r>
        <w:rPr>
          <w:rFonts w:ascii="宋体" w:hAnsi="宋体" w:eastAsia="宋体"/>
          <w:sz w:val="44"/>
        </w:rPr>
        <w:t>河南省实施《中华人民共和国土地管理法》</w:t>
      </w:r>
    </w:p>
    <w:p w14:paraId="469E9CE7">
      <w:pPr>
        <w:jc w:val="center"/>
      </w:pPr>
      <w:r>
        <w:rPr>
          <w:rFonts w:ascii="宋体" w:hAnsi="宋体" w:eastAsia="宋体"/>
          <w:sz w:val="44"/>
        </w:rPr>
        <w:t>办法</w:t>
      </w:r>
    </w:p>
    <w:p w14:paraId="4E6073D8">
      <w:pPr>
        <w:keepNext w:val="0"/>
        <w:keepLines w:val="0"/>
        <w:widowControl/>
        <w:suppressLineNumbers w:val="0"/>
        <w:jc w:val="center"/>
      </w:pPr>
      <w:r>
        <w:rPr>
          <w:rStyle w:val="7"/>
          <w:rFonts w:hint="eastAsia" w:ascii="仿宋" w:hAnsi="仿宋" w:eastAsia="仿宋" w:cs="仿宋"/>
          <w:b w:val="0"/>
          <w:bCs/>
          <w:kern w:val="0"/>
          <w:sz w:val="30"/>
          <w:szCs w:val="30"/>
          <w:lang w:val="en-US" w:eastAsia="zh-CN" w:bidi="ar"/>
        </w:rPr>
        <w:t>第三章耕地保护</w:t>
      </w:r>
    </w:p>
    <w:p w14:paraId="34A4B1D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14:paraId="57FF61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bCs/>
          <w:i w:val="0"/>
          <w:iCs w:val="0"/>
          <w:caps w:val="0"/>
          <w:color w:val="333333"/>
          <w:spacing w:val="8"/>
          <w:sz w:val="32"/>
          <w:szCs w:val="32"/>
          <w:shd w:val="clear" w:fill="FFFFFF"/>
        </w:rPr>
        <w:t>第十六条</w:t>
      </w:r>
      <w:r>
        <w:rPr>
          <w:rFonts w:hint="eastAsia" w:ascii="仿宋" w:hAnsi="仿宋" w:eastAsia="仿宋" w:cs="仿宋"/>
          <w:b/>
          <w:bCs/>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各级人民政府应当坚持最严格的耕地保护制度，对本行政区域内耕地保护负总责，落实国土空间规划明确的耕地和永久基本农田保护任务，加强耕地种植用途管控，控制耕地转为非耕地，对耕地的数量、质量和生态实行全面保护，严守耕地和永久基本农田保护红线以及粮食安全底线，确保本行政区域内耕地和永久基本农田总量不减少、质量有提高。</w:t>
      </w:r>
    </w:p>
    <w:p w14:paraId="1D45D6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县级以上人民政府应当每年对下一级人民政府耕地保护责任目标落实情况进行考核。</w:t>
      </w:r>
    </w:p>
    <w:p w14:paraId="2B096A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bCs/>
          <w:i w:val="0"/>
          <w:iCs w:val="0"/>
          <w:caps w:val="0"/>
          <w:color w:val="333333"/>
          <w:spacing w:val="8"/>
          <w:sz w:val="32"/>
          <w:szCs w:val="32"/>
          <w:shd w:val="clear" w:fill="FFFFFF"/>
        </w:rPr>
        <w:t>第十七条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依法实行占用耕地补偿制度。</w:t>
      </w:r>
    </w:p>
    <w:p w14:paraId="65B225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各级人民政府应当落实耕地占补平衡制度，将各类对耕地的占用统一纳入占补平衡管理，坚持以补定占、占一补一、占优补优，健全补充耕地质量验收制度。</w:t>
      </w:r>
    </w:p>
    <w:p w14:paraId="207917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非农业建设经依法批准占用耕地的，由占用耕地的单位负责开垦与所占用耕地的数量和质量相当的耕地；没有条件开垦或者开垦的耕地不符合要求的，应当按照省人民政府的规定缴纳耕地开垦费，专款用于开垦新的耕地。</w:t>
      </w:r>
    </w:p>
    <w:p w14:paraId="08B02C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在县级行政区域内无法实现占补平衡的，可以通过市场化跨区域调剂的方式补充耕地指标，具体办法由省人民政府制定。</w:t>
      </w:r>
    </w:p>
    <w:p w14:paraId="0F508D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省人民政府应当制定开垦耕地计划，监督占用耕地的单位按照计划开垦耕地或者按照计划组织开垦耕地，并依法组织验收。</w:t>
      </w:r>
    </w:p>
    <w:p w14:paraId="028C8F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耕地开垦、调剂补充耕地指标等所需费用应当列入建设项目成本。</w:t>
      </w:r>
    </w:p>
    <w:p w14:paraId="671949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bCs/>
          <w:i w:val="0"/>
          <w:iCs w:val="0"/>
          <w:caps w:val="0"/>
          <w:color w:val="333333"/>
          <w:spacing w:val="8"/>
          <w:sz w:val="32"/>
          <w:szCs w:val="32"/>
          <w:shd w:val="clear" w:fill="FFFFFF"/>
        </w:rPr>
        <w:t>第十八条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各级人民政府应当根据上一级人民政府确定的耕地保有量目标，严格控制耕地转为林地、草地、园地等其他农用地。对耕地转为林地、草地、园地等其他农用地的，应当坚持量质并重，按照规定及时补足数量相等、质量相当、产能不降的可以长期稳定利用的耕地。</w:t>
      </w:r>
    </w:p>
    <w:p w14:paraId="14D2E2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bCs/>
          <w:i w:val="0"/>
          <w:iCs w:val="0"/>
          <w:caps w:val="0"/>
          <w:color w:val="333333"/>
          <w:spacing w:val="8"/>
          <w:sz w:val="32"/>
          <w:szCs w:val="32"/>
          <w:shd w:val="clear" w:fill="FFFFFF"/>
        </w:rPr>
        <w:t>第十九条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各级人民政府应当严格执行永久基本农田特殊保护制度。</w:t>
      </w:r>
    </w:p>
    <w:p w14:paraId="1DD839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县级以上人民政府应当按照上一级人民政府下达的永久基本农田保护面积指标，根据依法公布的土地调查成果和定期发布的土地统计资料，在稳定的耕地上组织划定永久基本农田。</w:t>
      </w:r>
    </w:p>
    <w:p w14:paraId="056DEC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永久基本农田划定以乡镇为单位进行，由县级人民政府自然资源主管部门会同同级农业农村主管部门组织实施。永久基本农田应当落实到地块，纳入国家永久基本农田数据库严格管理。</w:t>
      </w:r>
    </w:p>
    <w:p w14:paraId="2AB0E9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乡镇人民政府应当将永久基本农田的位置、范围向社会公告，并设立保护标志。</w:t>
      </w:r>
    </w:p>
    <w:p w14:paraId="577396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bCs/>
          <w:i w:val="0"/>
          <w:iCs w:val="0"/>
          <w:caps w:val="0"/>
          <w:color w:val="333333"/>
          <w:spacing w:val="8"/>
          <w:sz w:val="32"/>
          <w:szCs w:val="32"/>
          <w:shd w:val="clear" w:fill="FFFFFF"/>
        </w:rPr>
        <w:t>第二十条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在永久基本农田禁止从事下列行为：</w:t>
      </w:r>
    </w:p>
    <w:p w14:paraId="7D687E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（一）发展林果业、挖塘养鱼或者新建其他水产养殖设施；</w:t>
      </w:r>
    </w:p>
    <w:p w14:paraId="0F4486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（二）种植苗木、草皮以及其他破坏耕作层的植物；</w:t>
      </w:r>
    </w:p>
    <w:p w14:paraId="1D1AFE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（三）挖湖造景、违反规定建设绿化带；</w:t>
      </w:r>
    </w:p>
    <w:p w14:paraId="27C466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（四）新建畜禽养殖设施和破坏耕作层的种植业设施；</w:t>
      </w:r>
    </w:p>
    <w:p w14:paraId="23BFA4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（五）法律、法规规定的其他行为。</w:t>
      </w:r>
    </w:p>
    <w:p w14:paraId="32315A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bCs/>
          <w:i w:val="0"/>
          <w:iCs w:val="0"/>
          <w:caps w:val="0"/>
          <w:color w:val="333333"/>
          <w:spacing w:val="8"/>
          <w:sz w:val="32"/>
          <w:szCs w:val="32"/>
          <w:shd w:val="clear" w:fill="FFFFFF"/>
        </w:rPr>
        <w:t>第二十一条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县级以上人民政府应当与下一级人民政府签订永久基本农田保护责任书。乡镇人民政府应当与农村集体经济组织或者村民委员会签订永久基本农田保护责任书，明确保护职责。</w:t>
      </w:r>
    </w:p>
    <w:p w14:paraId="5AFA20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bCs/>
          <w:i w:val="0"/>
          <w:iCs w:val="0"/>
          <w:caps w:val="0"/>
          <w:color w:val="333333"/>
          <w:spacing w:val="8"/>
          <w:sz w:val="32"/>
          <w:szCs w:val="32"/>
          <w:shd w:val="clear" w:fill="FFFFFF"/>
        </w:rPr>
        <w:t>第二十二条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各级人民政府应当采取措施，引导因地制宜轮作休耕，改良土壤，提高地力，维护排灌工程设施，防止土地荒漠化、盐渍化、水土流失和土壤污染。</w:t>
      </w:r>
    </w:p>
    <w:p w14:paraId="20E073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设施农业用地选址应当按照保护耕地、节约集约利用土地的原则，适应农业生产需要，少占或者不占耕地。设施农业用地不再使用的，经营者应当在一年内组织恢复种植条件。设施农业用地、乡村生产道路用地管理办法由省人民政府制定。</w:t>
      </w:r>
    </w:p>
    <w:p w14:paraId="41CDAD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bCs/>
          <w:i w:val="0"/>
          <w:iCs w:val="0"/>
          <w:caps w:val="0"/>
          <w:color w:val="333333"/>
          <w:spacing w:val="8"/>
          <w:sz w:val="32"/>
          <w:szCs w:val="32"/>
          <w:shd w:val="clear" w:fill="FFFFFF"/>
        </w:rPr>
        <w:t>第二十三条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非农业建设必须节约使用土地，可以利用荒地的，不得占用耕地；可以利用劣地的，不得占用好地。</w:t>
      </w:r>
    </w:p>
    <w:p w14:paraId="5297EF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非农业建设依法占用永久基本农田的，县级以上人民政府应当依法对耕地耕作层的土壤存储、利用等作出安排；建设单位应当将所占用耕地耕作层的土壤进行剥离，并运输至县级以上人民政府规定的存储或者利用区域，用于新开垦耕地、劣质地或者其他耕地的土壤改良，剥离、运输费用应当列入建设项目成本。</w:t>
      </w:r>
    </w:p>
    <w:p w14:paraId="4E138F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bCs/>
          <w:i w:val="0"/>
          <w:iCs w:val="0"/>
          <w:caps w:val="0"/>
          <w:color w:val="333333"/>
          <w:spacing w:val="8"/>
          <w:sz w:val="32"/>
          <w:szCs w:val="32"/>
          <w:shd w:val="clear" w:fill="FFFFFF"/>
        </w:rPr>
        <w:t>第二十四条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土地出让或者划拨价款的百分之二十缴纳闲置费；连续二年未使用的，经原批准机关批准，由县级以上人民政府无偿收回用地单位的土地使用权。</w:t>
      </w:r>
    </w:p>
    <w:p w14:paraId="15F01A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bCs/>
          <w:i w:val="0"/>
          <w:iCs w:val="0"/>
          <w:caps w:val="0"/>
          <w:color w:val="333333"/>
          <w:spacing w:val="8"/>
          <w:sz w:val="32"/>
          <w:szCs w:val="32"/>
          <w:shd w:val="clear" w:fill="FFFFFF"/>
        </w:rPr>
        <w:t>第二十五条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按照国土空间规划，开发未确定土地使用权的国有荒山、荒地、荒滩从事种植业、林业、畜牧业、渔业生产的，应当注重生态环境改善和土地节约集约利用，由土地所在地的县级人民政府批准。</w:t>
      </w:r>
    </w:p>
    <w:p w14:paraId="08352C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在国土空间规划确定的土地开垦区内，开发农民集体所有的荒山、荒沟、荒丘、荒滩从事种植业、林业、畜牧业、渔业生产的，依照《中华人民共和国农村土地承包法》的规定执行。</w:t>
      </w:r>
    </w:p>
    <w:p w14:paraId="639021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bCs/>
          <w:i w:val="0"/>
          <w:iCs w:val="0"/>
          <w:caps w:val="0"/>
          <w:color w:val="333333"/>
          <w:spacing w:val="8"/>
          <w:sz w:val="32"/>
          <w:szCs w:val="32"/>
          <w:shd w:val="clear" w:fill="FFFFFF"/>
        </w:rPr>
        <w:t>第二十六条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县（市、区）、乡镇人民政府应当依据国土空间规划，组织开展农用地整理、建设用地整理、未利用地开发以及历史遗留工矿废弃地、自然灾害损毁土地复垦等土地综合整治，提高耕地质量，增加有效耕地面积，促进土地节约集约利用。</w:t>
      </w:r>
    </w:p>
    <w:p w14:paraId="79DF67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鼓励社会主体依法参与土地综合整治。</w:t>
      </w:r>
    </w:p>
    <w:p w14:paraId="06BD5E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对于土地综合整治等产生的新增耕地，符合有关规定的，可以用作建设占用耕地的补充。</w:t>
      </w:r>
    </w:p>
    <w:p w14:paraId="42A9AE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bCs/>
          <w:i w:val="0"/>
          <w:iCs w:val="0"/>
          <w:caps w:val="0"/>
          <w:color w:val="333333"/>
          <w:spacing w:val="8"/>
          <w:sz w:val="32"/>
          <w:szCs w:val="32"/>
          <w:shd w:val="clear" w:fill="FFFFFF"/>
        </w:rPr>
        <w:t>第二十七条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因挖损、塌陷、压占等造成土地破坏，用地单位和个人应当按照国家规定负责复垦，复垦后应当按照规定向所在地县级以上人民政府自然资源主管部门申请验收；没有条件复垦或者复垦不符合要求的，应当依法缴纳土地复垦费，专项用于土地复垦。复垦的土地应当优先用于农业。</w:t>
      </w:r>
    </w:p>
    <w:p w14:paraId="2ADE3D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对历史遗留损毁土地和自然灾害损毁土地，由县级以上人民政府按照国家规定组织复垦；土地权利人明确的，可以采取扶持、优惠措施，鼓励土地权利人自行复垦。</w:t>
      </w:r>
    </w:p>
    <w:p w14:paraId="566325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bCs/>
          <w:i w:val="0"/>
          <w:iCs w:val="0"/>
          <w:caps w:val="0"/>
          <w:color w:val="333333"/>
          <w:spacing w:val="8"/>
          <w:sz w:val="32"/>
          <w:szCs w:val="32"/>
          <w:shd w:val="clear" w:fill="FFFFFF"/>
        </w:rPr>
        <w:t>第二十八条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省人民政府及其相关部门应当推进各级涉农资金、项目和指标整合，按照谁保护、谁受益的原则，对承担耕地和永久基本农田保护任务的地区给予奖励。</w:t>
      </w:r>
    </w:p>
    <w:p w14:paraId="270BFB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r>
        <w:rPr>
          <w:rFonts w:hint="eastAsia" w:ascii="仿宋" w:hAnsi="仿宋" w:eastAsia="仿宋" w:cs="仿宋"/>
          <w:b w:val="0"/>
          <w:bCs w:val="0"/>
          <w:i w:val="0"/>
          <w:iCs w:val="0"/>
          <w:caps w:val="0"/>
          <w:color w:val="333333"/>
          <w:spacing w:val="8"/>
          <w:sz w:val="32"/>
          <w:szCs w:val="32"/>
          <w:shd w:val="clear" w:fill="FFFFFF"/>
        </w:rPr>
        <w:t>设区的市、县（市）人民政府应当建立耕地保护激励机制，对耕地保护良好的集体经济组织和农户予以奖补，具体标准由设区的市、县（市）人民政府确定。</w:t>
      </w:r>
    </w:p>
    <w:p w14:paraId="70ADE6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4" w:firstLineChars="200"/>
        <w:jc w:val="both"/>
        <w:textAlignment w:val="auto"/>
        <w:rPr>
          <w:rFonts w:hint="eastAsia" w:ascii="仿宋" w:hAnsi="仿宋" w:eastAsia="仿宋" w:cs="仿宋"/>
          <w:b w:val="0"/>
          <w:bCs w:val="0"/>
          <w:i w:val="0"/>
          <w:iCs w:val="0"/>
          <w:caps w:val="0"/>
          <w:color w:val="333333"/>
          <w:spacing w:val="8"/>
          <w:sz w:val="32"/>
          <w:szCs w:val="32"/>
          <w:shd w:val="clear" w:fill="FFFFFF"/>
        </w:rPr>
      </w:pPr>
      <w:bookmarkStart w:id="0" w:name="_GoBack"/>
      <w:r>
        <w:rPr>
          <w:rFonts w:hint="eastAsia" w:ascii="仿宋" w:hAnsi="仿宋" w:eastAsia="仿宋" w:cs="仿宋"/>
          <w:b/>
          <w:bCs/>
          <w:i w:val="0"/>
          <w:iCs w:val="0"/>
          <w:caps w:val="0"/>
          <w:color w:val="333333"/>
          <w:spacing w:val="8"/>
          <w:sz w:val="32"/>
          <w:szCs w:val="32"/>
          <w:shd w:val="clear" w:fill="FFFFFF"/>
        </w:rPr>
        <w:t>第二十九条</w:t>
      </w:r>
      <w:bookmarkEnd w:id="0"/>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县级以上人民政府及其有关部门应当依法深化农村土地制度改革，优化土地资源配置，按照国家规定推进农村土地所有权、承包权、经营权分置并行，落实集体所有权，稳定农户承包权，放活土地经营权，完善引导、规范土地经营权流转的相关制度，培育新型经营主体，促进农业适度规模经营，推进农业农村现代化，推动乡村振兴。</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CB3B8">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80E04">
    <w:pPr>
      <w:pStyle w:val="2"/>
      <w:jc w:val="left"/>
      <w:rPr>
        <w:rFonts w:ascii="宋体" w:hAnsi="宋体" w:eastAsia="宋体"/>
        <w:sz w:val="28"/>
        <w:szCs w:val="28"/>
      </w:rPr>
    </w:pPr>
    <w:r>
      <w:rPr>
        <w:rFonts w:hint="eastAsia" w:ascii="宋体" w:hAnsi="宋体" w:eastAsia="宋体"/>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Y0OTE1MDdiZGUwOTdiYTllZGVhZTgyMzZjMTZkM2MifQ=="/>
    <w:docVar w:name="KSO_WPS_MARK_KEY" w:val="dfb60924-ff92-4b6c-9b1e-85034f6adb31"/>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0E48C0"/>
    <w:rsid w:val="0D9804AC"/>
    <w:rsid w:val="11E4354D"/>
    <w:rsid w:val="1423239F"/>
    <w:rsid w:val="16DC7373"/>
    <w:rsid w:val="266C1616"/>
    <w:rsid w:val="344634A2"/>
    <w:rsid w:val="3C7077F8"/>
    <w:rsid w:val="3DE63740"/>
    <w:rsid w:val="481351D2"/>
    <w:rsid w:val="53543565"/>
    <w:rsid w:val="558A062C"/>
    <w:rsid w:val="622F12CF"/>
    <w:rsid w:val="653E08AD"/>
    <w:rsid w:val="71B9247E"/>
    <w:rsid w:val="75461F6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2"/>
    <w:qFormat/>
    <w:uiPriority w:val="99"/>
    <w:rPr>
      <w:sz w:val="18"/>
      <w:szCs w:val="18"/>
    </w:rPr>
  </w:style>
  <w:style w:type="character" w:customStyle="1" w:styleId="11">
    <w:name w:val="页眉 字符"/>
    <w:link w:val="3"/>
    <w:qFormat/>
    <w:uiPriority w:val="99"/>
    <w:rPr>
      <w:sz w:val="18"/>
      <w:szCs w:val="18"/>
    </w:rPr>
  </w:style>
  <w:style w:type="paragraph" w:customStyle="1" w:styleId="12">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2458</Words>
  <Characters>2458</Characters>
  <Lines>0</Lines>
  <Paragraphs>0</Paragraphs>
  <TotalTime>49</TotalTime>
  <ScaleCrop>false</ScaleCrop>
  <LinksUpToDate>false</LinksUpToDate>
  <CharactersWithSpaces>2458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微信用户</cp:lastModifiedBy>
  <dcterms:modified xsi:type="dcterms:W3CDTF">2025-03-04T07:02:45Z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2052-12.1.0.20305</vt:lpwstr>
  </property>
  <property fmtid="{D5CDD505-2E9C-101B-9397-08002B2CF9AE}" pid="4" name="KSOTemplateDocerSaveRecord">
    <vt:lpwstr>eyJoZGlkIjoiMmM1MjNmZDY5ZGZlODYyYjFjNDE0NTU5NjJkNGFlNDMiLCJ1c2VySWQiOiIxMjg3NzIyMDI3In0=</vt:lpwstr>
  </property>
</Properties>
</file>