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9AD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pPr>
      <w:r>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t>湖滨区信访局</w:t>
      </w:r>
    </w:p>
    <w:p w14:paraId="31CDAEA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pPr>
      <w:r>
        <w:rPr>
          <w:rFonts w:hint="eastAsia" w:ascii="Times New Roman" w:hAnsi="Times New Roman" w:eastAsia="方正大标宋简体" w:cs="方正大标宋简体"/>
          <w:color w:val="000000" w:themeColor="text1"/>
          <w:spacing w:val="0"/>
          <w:sz w:val="44"/>
          <w:szCs w:val="44"/>
          <w:lang w:val="en-US" w:eastAsia="zh-CN"/>
          <w14:textFill>
            <w14:solidFill>
              <w14:schemeClr w14:val="tx1"/>
            </w14:solidFill>
          </w14:textFill>
        </w:rPr>
        <w:t>关于2024年法治政府建设情况的报告</w:t>
      </w:r>
    </w:p>
    <w:p w14:paraId="3BB28D2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sz w:val="32"/>
          <w:szCs w:val="32"/>
          <w:lang w:val="en-US" w:eastAsia="zh-CN"/>
        </w:rPr>
      </w:pPr>
    </w:p>
    <w:p w14:paraId="1811C10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Times New Roman" w:hAnsi="Times New Roman" w:eastAsia="仿宋_GB2312" w:cs="Times New Roman"/>
          <w:i w:val="0"/>
          <w:iCs w:val="0"/>
          <w:caps w:val="0"/>
          <w:color w:val="000000"/>
          <w:spacing w:val="-20"/>
          <w:kern w:val="0"/>
          <w:sz w:val="32"/>
          <w:szCs w:val="32"/>
          <w:shd w:val="clear" w:fill="FFFFFF"/>
          <w:lang w:val="en-US" w:eastAsia="zh-CN" w:bidi="ar"/>
        </w:rPr>
      </w:pPr>
      <w:r>
        <w:rPr>
          <w:rFonts w:hint="eastAsia" w:ascii="Times New Roman" w:hAnsi="Times New Roman" w:eastAsia="仿宋_GB2312" w:cs="Times New Roman"/>
          <w:i w:val="0"/>
          <w:iCs w:val="0"/>
          <w:caps w:val="0"/>
          <w:color w:val="000000"/>
          <w:spacing w:val="-20"/>
          <w:kern w:val="0"/>
          <w:sz w:val="32"/>
          <w:szCs w:val="32"/>
          <w:shd w:val="clear" w:fill="FFFFFF"/>
          <w:lang w:val="en-US" w:eastAsia="zh-CN" w:bidi="ar"/>
        </w:rPr>
        <w:t>2024年</w:t>
      </w:r>
      <w:r>
        <w:rPr>
          <w:rFonts w:hint="default" w:ascii="Times New Roman" w:hAnsi="Times New Roman" w:eastAsia="仿宋_GB2312" w:cs="Times New Roman"/>
          <w:i w:val="0"/>
          <w:iCs w:val="0"/>
          <w:caps w:val="0"/>
          <w:color w:val="000000"/>
          <w:spacing w:val="-2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20"/>
          <w:kern w:val="0"/>
          <w:sz w:val="32"/>
          <w:szCs w:val="32"/>
          <w:shd w:val="clear" w:fill="FFFFFF"/>
          <w:lang w:val="en-US" w:eastAsia="zh-CN" w:bidi="ar"/>
        </w:rPr>
        <w:t>湖滨区信访</w:t>
      </w:r>
      <w:r>
        <w:rPr>
          <w:rFonts w:hint="default" w:ascii="Times New Roman" w:hAnsi="Times New Roman" w:eastAsia="仿宋_GB2312" w:cs="Times New Roman"/>
          <w:i w:val="0"/>
          <w:iCs w:val="0"/>
          <w:caps w:val="0"/>
          <w:color w:val="000000"/>
          <w:spacing w:val="-20"/>
          <w:kern w:val="0"/>
          <w:sz w:val="32"/>
          <w:szCs w:val="32"/>
          <w:shd w:val="clear" w:fill="FFFFFF"/>
          <w:lang w:val="en-US" w:eastAsia="zh-CN" w:bidi="ar"/>
        </w:rPr>
        <w:t>局坚持以习近平新时代中国特色社会主义思想为指导，深入学习贯彻习近平法治思想和党的二十大</w:t>
      </w:r>
      <w:r>
        <w:rPr>
          <w:rFonts w:hint="eastAsia" w:ascii="Times New Roman" w:hAnsi="Times New Roman" w:eastAsia="仿宋_GB2312" w:cs="Times New Roman"/>
          <w:i w:val="0"/>
          <w:iCs w:val="0"/>
          <w:caps w:val="0"/>
          <w:color w:val="000000"/>
          <w:spacing w:val="-20"/>
          <w:kern w:val="0"/>
          <w:sz w:val="32"/>
          <w:szCs w:val="32"/>
          <w:shd w:val="clear" w:fill="FFFFFF"/>
          <w:lang w:val="en-US" w:eastAsia="zh-CN" w:bidi="ar"/>
        </w:rPr>
        <w:t>、二十届二中、三中全会精神，全面贯彻落实中央、省、市、区关于法治政府建设的重大决策部署，结合我区信访工作实际，全面开展信访工作法治化，不断增强运用法治思维和法治方式维护群众合法权益的能力水平，传播依法信访理念，有序推进法治政府建设的各项工作。现将我局</w:t>
      </w:r>
      <w:r>
        <w:rPr>
          <w:rFonts w:hint="default" w:ascii="Times New Roman" w:hAnsi="Times New Roman" w:eastAsia="仿宋_GB2312" w:cs="Times New Roman"/>
          <w:i w:val="0"/>
          <w:iCs w:val="0"/>
          <w:caps w:val="0"/>
          <w:color w:val="000000"/>
          <w:spacing w:val="-20"/>
          <w:kern w:val="0"/>
          <w:sz w:val="32"/>
          <w:szCs w:val="32"/>
          <w:shd w:val="clear" w:fill="FFFFFF"/>
          <w:lang w:val="en-US" w:eastAsia="zh-CN" w:bidi="ar"/>
        </w:rPr>
        <w:t>2024</w:t>
      </w:r>
      <w:r>
        <w:rPr>
          <w:rFonts w:hint="eastAsia" w:ascii="Times New Roman" w:hAnsi="Times New Roman" w:eastAsia="仿宋_GB2312" w:cs="Times New Roman"/>
          <w:i w:val="0"/>
          <w:iCs w:val="0"/>
          <w:caps w:val="0"/>
          <w:color w:val="000000"/>
          <w:spacing w:val="-20"/>
          <w:kern w:val="0"/>
          <w:sz w:val="32"/>
          <w:szCs w:val="32"/>
          <w:shd w:val="clear" w:fill="FFFFFF"/>
          <w:lang w:val="en-US" w:eastAsia="zh-CN" w:bidi="ar"/>
        </w:rPr>
        <w:t>年度法治政府建设情况报告如下：</w:t>
      </w:r>
    </w:p>
    <w:p w14:paraId="06EBABE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黑体" w:hAnsi="黑体" w:eastAsia="黑体" w:cs="黑体"/>
          <w:color w:val="000000"/>
          <w:spacing w:val="-20"/>
          <w:sz w:val="32"/>
          <w:szCs w:val="32"/>
          <w:lang w:val="en-US" w:eastAsia="zh-CN"/>
        </w:rPr>
      </w:pPr>
      <w:r>
        <w:rPr>
          <w:rFonts w:hint="eastAsia" w:ascii="黑体" w:hAnsi="黑体" w:eastAsia="黑体" w:cs="黑体"/>
          <w:color w:val="000000"/>
          <w:spacing w:val="-20"/>
          <w:sz w:val="32"/>
          <w:szCs w:val="32"/>
          <w:lang w:val="en-US" w:eastAsia="zh-CN"/>
        </w:rPr>
        <w:t>一、党政主要负责人履行法治建设第一责任人情况</w:t>
      </w:r>
    </w:p>
    <w:p w14:paraId="19E9118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color w:val="000000"/>
          <w:spacing w:val="-20"/>
          <w:sz w:val="32"/>
          <w:szCs w:val="32"/>
          <w:lang w:val="en-US" w:eastAsia="zh-CN"/>
        </w:rPr>
      </w:pPr>
      <w:r>
        <w:rPr>
          <w:rFonts w:hint="default" w:ascii="仿宋_GB2312" w:hAnsi="仿宋_GB2312" w:eastAsia="仿宋_GB2312" w:cs="仿宋_GB2312"/>
          <w:b/>
          <w:bCs/>
          <w:color w:val="000000"/>
          <w:spacing w:val="-20"/>
          <w:sz w:val="32"/>
          <w:szCs w:val="32"/>
          <w:lang w:val="en-US" w:eastAsia="zh-CN"/>
        </w:rPr>
        <w:t>（一）</w:t>
      </w:r>
      <w:r>
        <w:rPr>
          <w:rFonts w:hint="eastAsia" w:ascii="仿宋_GB2312" w:hAnsi="仿宋_GB2312" w:eastAsia="仿宋_GB2312" w:cs="仿宋_GB2312"/>
          <w:b/>
          <w:bCs/>
          <w:color w:val="000000"/>
          <w:spacing w:val="-20"/>
          <w:sz w:val="32"/>
          <w:szCs w:val="32"/>
          <w:lang w:val="en-US" w:eastAsia="zh-CN"/>
        </w:rPr>
        <w:t>强化组织领导，夯实法治基础。</w:t>
      </w:r>
      <w:r>
        <w:rPr>
          <w:rFonts w:hint="default" w:ascii="仿宋_GB2312" w:hAnsi="仿宋_GB2312" w:eastAsia="仿宋_GB2312" w:cs="仿宋_GB2312"/>
          <w:color w:val="000000"/>
          <w:spacing w:val="-20"/>
          <w:sz w:val="32"/>
          <w:szCs w:val="32"/>
          <w:lang w:val="en-US" w:eastAsia="zh-CN"/>
        </w:rPr>
        <w:t>严格落实党政主要负责人履行推进法治建设第一责任人职责，</w:t>
      </w:r>
      <w:r>
        <w:rPr>
          <w:rFonts w:hint="eastAsia" w:ascii="仿宋_GB2312" w:hAnsi="仿宋_GB2312" w:eastAsia="仿宋_GB2312" w:cs="仿宋_GB2312"/>
          <w:color w:val="000000"/>
          <w:spacing w:val="-20"/>
          <w:sz w:val="32"/>
          <w:szCs w:val="32"/>
          <w:lang w:val="en-US" w:eastAsia="zh-CN"/>
        </w:rPr>
        <w:t>健全依法决策、科学决策、民主决策机制，积极推进政务公开，及时研究法治工作相关问题，形成主要领导亲自抓，分管领导具体抓的工作格局，确保依法行政各项工作落到实处。</w:t>
      </w:r>
    </w:p>
    <w:p w14:paraId="08315D0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color w:val="000000"/>
          <w:spacing w:val="-20"/>
          <w:sz w:val="32"/>
          <w:szCs w:val="32"/>
          <w:lang w:val="en-US" w:eastAsia="zh-CN"/>
        </w:rPr>
      </w:pPr>
      <w:r>
        <w:rPr>
          <w:rFonts w:hint="eastAsia" w:ascii="仿宋_GB2312" w:hAnsi="仿宋_GB2312" w:eastAsia="仿宋_GB2312" w:cs="仿宋_GB2312"/>
          <w:b/>
          <w:bCs/>
          <w:color w:val="000000"/>
          <w:spacing w:val="-20"/>
          <w:sz w:val="32"/>
          <w:szCs w:val="32"/>
          <w:lang w:val="en-US" w:eastAsia="zh-CN"/>
        </w:rPr>
        <w:t>（二）坚持法治引领，统筹规划部署。</w:t>
      </w:r>
      <w:r>
        <w:rPr>
          <w:rFonts w:hint="eastAsia" w:ascii="仿宋_GB2312" w:hAnsi="仿宋_GB2312" w:eastAsia="仿宋_GB2312" w:cs="仿宋_GB2312"/>
          <w:color w:val="000000"/>
          <w:spacing w:val="-20"/>
          <w:sz w:val="32"/>
          <w:szCs w:val="32"/>
          <w:lang w:val="en-US" w:eastAsia="zh-CN"/>
        </w:rPr>
        <w:t>高度重视普法宣传工作，与信访业务工作同部署、同落实、同检查。年初根据普法责任清单，结合本局实际，印发《</w:t>
      </w:r>
      <w:r>
        <w:rPr>
          <w:rFonts w:hint="default" w:ascii="仿宋_GB2312" w:hAnsi="仿宋_GB2312" w:eastAsia="仿宋_GB2312" w:cs="仿宋_GB2312"/>
          <w:color w:val="000000"/>
          <w:spacing w:val="-20"/>
          <w:sz w:val="32"/>
          <w:szCs w:val="32"/>
          <w:lang w:val="en-US" w:eastAsia="zh-CN"/>
        </w:rPr>
        <w:t>2024</w:t>
      </w:r>
      <w:r>
        <w:rPr>
          <w:rFonts w:hint="eastAsia" w:ascii="仿宋_GB2312" w:hAnsi="仿宋_GB2312" w:eastAsia="仿宋_GB2312" w:cs="仿宋_GB2312"/>
          <w:color w:val="000000"/>
          <w:spacing w:val="-20"/>
          <w:sz w:val="32"/>
          <w:szCs w:val="32"/>
          <w:lang w:val="en-US" w:eastAsia="zh-CN"/>
        </w:rPr>
        <w:t>年度普法工作计划》，将《信访工作条例》纳入年度普法责任清单中，以《信访工作条例》实施两周年为契机，持续推动学习宣传贯彻《信访工作条例》走深走实，助推</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八五</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普法规划进一步落实，在全区营造办事依法、遇事找法、解决问题用法、化解矛盾靠法的良好环境。</w:t>
      </w:r>
    </w:p>
    <w:p w14:paraId="1BD155D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color w:val="000000"/>
          <w:spacing w:val="-20"/>
          <w:sz w:val="32"/>
          <w:szCs w:val="32"/>
          <w:lang w:val="en-US" w:eastAsia="zh-CN"/>
        </w:rPr>
      </w:pPr>
      <w:r>
        <w:rPr>
          <w:rFonts w:hint="eastAsia" w:ascii="仿宋_GB2312" w:hAnsi="仿宋_GB2312" w:eastAsia="仿宋_GB2312" w:cs="仿宋_GB2312"/>
          <w:b/>
          <w:bCs/>
          <w:color w:val="000000"/>
          <w:spacing w:val="-20"/>
          <w:sz w:val="32"/>
          <w:szCs w:val="32"/>
          <w:lang w:val="en-US" w:eastAsia="zh-CN"/>
        </w:rPr>
        <w:t>（三）持续强化监督，规范信访业务。</w:t>
      </w:r>
      <w:r>
        <w:rPr>
          <w:rFonts w:hint="eastAsia" w:ascii="仿宋_GB2312" w:hAnsi="仿宋_GB2312" w:eastAsia="仿宋_GB2312" w:cs="仿宋_GB2312"/>
          <w:color w:val="000000"/>
          <w:spacing w:val="-20"/>
          <w:sz w:val="32"/>
          <w:szCs w:val="32"/>
          <w:lang w:val="en-US" w:eastAsia="zh-CN"/>
        </w:rPr>
        <w:t>加强信访基础业务规范化建设，通过业务培训、随机抽查等方式，指导乡街道、区直单位按信访工作法治化要求规范办理，进一步提高办理质效，推动我区初次信访事项一次性化解率达到了</w:t>
      </w:r>
      <w:r>
        <w:rPr>
          <w:rFonts w:hint="default" w:ascii="仿宋_GB2312" w:hAnsi="仿宋_GB2312" w:eastAsia="仿宋_GB2312" w:cs="仿宋_GB2312"/>
          <w:color w:val="000000"/>
          <w:spacing w:val="-20"/>
          <w:sz w:val="32"/>
          <w:szCs w:val="32"/>
          <w:lang w:val="en-US" w:eastAsia="zh-CN"/>
        </w:rPr>
        <w:t>97.68%</w:t>
      </w:r>
      <w:r>
        <w:rPr>
          <w:rFonts w:hint="eastAsia" w:ascii="仿宋_GB2312" w:hAnsi="仿宋_GB2312" w:eastAsia="仿宋_GB2312" w:cs="仿宋_GB2312"/>
          <w:color w:val="000000"/>
          <w:spacing w:val="-20"/>
          <w:sz w:val="32"/>
          <w:szCs w:val="32"/>
          <w:lang w:val="en-US" w:eastAsia="zh-CN"/>
        </w:rPr>
        <w:t>。</w:t>
      </w:r>
    </w:p>
    <w:p w14:paraId="2957541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黑体" w:hAnsi="黑体" w:eastAsia="黑体" w:cs="黑体"/>
          <w:color w:val="000000"/>
          <w:spacing w:val="-20"/>
          <w:sz w:val="32"/>
          <w:szCs w:val="32"/>
        </w:rPr>
      </w:pPr>
      <w:r>
        <w:rPr>
          <w:rFonts w:hint="eastAsia" w:ascii="黑体" w:hAnsi="黑体" w:eastAsia="黑体" w:cs="黑体"/>
          <w:color w:val="000000"/>
          <w:spacing w:val="-20"/>
          <w:sz w:val="32"/>
          <w:szCs w:val="32"/>
        </w:rPr>
        <w:t>二、</w:t>
      </w:r>
      <w:r>
        <w:rPr>
          <w:rFonts w:hint="eastAsia" w:ascii="黑体" w:hAnsi="黑体" w:eastAsia="黑体" w:cs="黑体"/>
          <w:color w:val="000000"/>
          <w:spacing w:val="-20"/>
          <w:sz w:val="32"/>
          <w:szCs w:val="32"/>
          <w:lang w:val="en-US" w:eastAsia="zh-CN"/>
        </w:rPr>
        <w:t>推进法治政府建设的主要措施和成效</w:t>
      </w:r>
    </w:p>
    <w:p w14:paraId="52F5341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b/>
          <w:bCs/>
          <w:color w:val="000000"/>
          <w:spacing w:val="-20"/>
          <w:sz w:val="32"/>
          <w:szCs w:val="32"/>
        </w:rPr>
        <w:t>（一）健全</w:t>
      </w:r>
      <w:r>
        <w:rPr>
          <w:rFonts w:hint="eastAsia" w:ascii="仿宋_GB2312" w:hAnsi="仿宋_GB2312" w:eastAsia="仿宋_GB2312" w:cs="仿宋_GB2312"/>
          <w:b/>
          <w:bCs/>
          <w:color w:val="000000"/>
          <w:spacing w:val="-20"/>
          <w:sz w:val="32"/>
          <w:szCs w:val="32"/>
          <w:lang w:val="en-US" w:eastAsia="zh-CN"/>
        </w:rPr>
        <w:t>工作</w:t>
      </w:r>
      <w:r>
        <w:rPr>
          <w:rFonts w:hint="eastAsia" w:ascii="仿宋_GB2312" w:hAnsi="仿宋_GB2312" w:eastAsia="仿宋_GB2312" w:cs="仿宋_GB2312"/>
          <w:b/>
          <w:bCs/>
          <w:color w:val="000000"/>
          <w:spacing w:val="-20"/>
          <w:sz w:val="32"/>
          <w:szCs w:val="32"/>
        </w:rPr>
        <w:t>机制，提高依法办事能力。</w:t>
      </w:r>
      <w:r>
        <w:rPr>
          <w:rFonts w:hint="eastAsia" w:ascii="仿宋_GB2312" w:hAnsi="仿宋_GB2312" w:eastAsia="仿宋_GB2312" w:cs="仿宋_GB2312"/>
          <w:color w:val="000000"/>
          <w:spacing w:val="-20"/>
          <w:sz w:val="32"/>
          <w:szCs w:val="32"/>
        </w:rPr>
        <w:t>完善信访工作体系，持续推进乡（街道）信访工作联席会议制度实体化、规范化运行，进一步夯实信访工作基层基础，推动信访矛盾及时、就地、高效化解。</w:t>
      </w:r>
    </w:p>
    <w:p w14:paraId="5ED6CC6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b/>
          <w:bCs/>
          <w:color w:val="000000"/>
          <w:spacing w:val="-20"/>
          <w:sz w:val="32"/>
          <w:szCs w:val="32"/>
        </w:rPr>
        <w:t>（</w:t>
      </w:r>
      <w:r>
        <w:rPr>
          <w:rFonts w:hint="eastAsia" w:ascii="仿宋_GB2312" w:hAnsi="仿宋_GB2312" w:eastAsia="仿宋_GB2312" w:cs="仿宋_GB2312"/>
          <w:b/>
          <w:bCs/>
          <w:color w:val="000000"/>
          <w:spacing w:val="-20"/>
          <w:sz w:val="32"/>
          <w:szCs w:val="32"/>
          <w:lang w:val="en-US" w:eastAsia="zh-CN"/>
        </w:rPr>
        <w:t>二</w:t>
      </w:r>
      <w:r>
        <w:rPr>
          <w:rFonts w:hint="eastAsia" w:ascii="仿宋_GB2312" w:hAnsi="仿宋_GB2312" w:eastAsia="仿宋_GB2312" w:cs="仿宋_GB2312"/>
          <w:b/>
          <w:bCs/>
          <w:color w:val="000000"/>
          <w:spacing w:val="-20"/>
          <w:sz w:val="32"/>
          <w:szCs w:val="32"/>
        </w:rPr>
        <w:t>）实行政务公开，主动接受群众监督。</w:t>
      </w:r>
      <w:r>
        <w:rPr>
          <w:rFonts w:hint="eastAsia" w:ascii="仿宋_GB2312" w:hAnsi="仿宋_GB2312" w:eastAsia="仿宋_GB2312" w:cs="仿宋_GB2312"/>
          <w:color w:val="000000"/>
          <w:spacing w:val="-20"/>
          <w:sz w:val="32"/>
          <w:szCs w:val="32"/>
        </w:rPr>
        <w:t>按照依法公开、求真务实、重点突出、便于监督的要求，我局努力规范和完善政务公开制度，充分利用宣传栏向社会公开政策法规、组织架构、办事指南等信息，积极做好省长信箱、人民网等网站的信访诉求，及时为群众答疑解惑，自觉接受群众监督。</w:t>
      </w:r>
    </w:p>
    <w:p w14:paraId="5E29EA3A">
      <w:pPr>
        <w:keepNext w:val="0"/>
        <w:keepLines w:val="0"/>
        <w:pageBreakBefore w:val="0"/>
        <w:widowControl/>
        <w:suppressLineNumbers w:val="0"/>
        <w:kinsoku/>
        <w:wordWrap/>
        <w:overflowPunct/>
        <w:topLinePunct w:val="0"/>
        <w:autoSpaceDE/>
        <w:autoSpaceDN/>
        <w:bidi w:val="0"/>
        <w:adjustRightInd/>
        <w:snapToGrid/>
        <w:spacing w:line="560" w:lineRule="exact"/>
        <w:ind w:firstLine="648" w:firstLineChars="200"/>
        <w:jc w:val="both"/>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b/>
          <w:bCs/>
          <w:color w:val="000000"/>
          <w:spacing w:val="-20"/>
          <w:kern w:val="0"/>
          <w:sz w:val="32"/>
          <w:szCs w:val="32"/>
          <w:lang w:val="en-US" w:eastAsia="zh-CN" w:bidi="ar"/>
        </w:rPr>
        <w:t>（三）采取多种形式，</w:t>
      </w:r>
      <w:r>
        <w:rPr>
          <w:rFonts w:hint="default" w:ascii="仿宋_GB2312" w:hAnsi="仿宋_GB2312" w:eastAsia="仿宋_GB2312" w:cs="仿宋_GB2312"/>
          <w:b/>
          <w:bCs/>
          <w:color w:val="000000"/>
          <w:spacing w:val="-20"/>
          <w:kern w:val="0"/>
          <w:sz w:val="32"/>
          <w:szCs w:val="32"/>
          <w:lang w:val="en-US" w:eastAsia="zh-CN" w:bidi="ar"/>
        </w:rPr>
        <w:t>开展普法宣传活动</w:t>
      </w:r>
      <w:r>
        <w:rPr>
          <w:rFonts w:hint="eastAsia" w:ascii="仿宋_GB2312" w:hAnsi="仿宋_GB2312" w:eastAsia="仿宋_GB2312" w:cs="仿宋_GB2312"/>
          <w:b/>
          <w:bCs/>
          <w:color w:val="000000"/>
          <w:spacing w:val="-20"/>
          <w:sz w:val="32"/>
          <w:szCs w:val="32"/>
        </w:rPr>
        <w:t>。</w:t>
      </w:r>
      <w:r>
        <w:rPr>
          <w:rFonts w:hint="eastAsia" w:ascii="仿宋_GB2312" w:hAnsi="仿宋_GB2312" w:eastAsia="仿宋_GB2312" w:cs="仿宋_GB2312"/>
          <w:b/>
          <w:bCs/>
          <w:color w:val="000000"/>
          <w:spacing w:val="-20"/>
          <w:sz w:val="32"/>
          <w:szCs w:val="32"/>
          <w:lang w:val="en-US" w:eastAsia="zh-CN"/>
        </w:rPr>
        <w:t>一是</w:t>
      </w:r>
      <w:r>
        <w:rPr>
          <w:rFonts w:hint="default" w:ascii="仿宋_GB2312" w:hAnsi="仿宋_GB2312" w:eastAsia="仿宋_GB2312" w:cs="仿宋_GB2312"/>
          <w:color w:val="000000"/>
          <w:spacing w:val="-20"/>
          <w:sz w:val="32"/>
          <w:szCs w:val="32"/>
          <w:lang w:val="en-US" w:eastAsia="zh-CN"/>
        </w:rPr>
        <w:t>在区信访接待服务中心开设悬挂《依法依规信访“</w:t>
      </w:r>
      <w:r>
        <w:rPr>
          <w:rFonts w:hint="eastAsia" w:ascii="仿宋_GB2312" w:hAnsi="仿宋_GB2312" w:eastAsia="仿宋_GB2312" w:cs="仿宋_GB2312"/>
          <w:color w:val="000000"/>
          <w:spacing w:val="-20"/>
          <w:sz w:val="32"/>
          <w:szCs w:val="32"/>
          <w:lang w:val="en-US" w:eastAsia="zh-CN"/>
        </w:rPr>
        <w:t>路线图</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》，张贴漫画图解《走访中常见的误区》，营造浓厚普法宣传氛围</w:t>
      </w:r>
      <w:r>
        <w:rPr>
          <w:rFonts w:hint="default" w:ascii="仿宋_GB2312" w:hAnsi="仿宋_GB2312" w:eastAsia="仿宋_GB2312" w:cs="仿宋_GB2312"/>
          <w:color w:val="000000"/>
          <w:spacing w:val="-20"/>
          <w:sz w:val="32"/>
          <w:szCs w:val="32"/>
          <w:lang w:val="en-US" w:eastAsia="zh-CN"/>
        </w:rPr>
        <w:t>引导来访群众依法、逐级、理性、有序上访；</w:t>
      </w:r>
      <w:r>
        <w:rPr>
          <w:rFonts w:hint="eastAsia" w:ascii="仿宋_GB2312" w:hAnsi="仿宋_GB2312" w:eastAsia="仿宋_GB2312" w:cs="仿宋_GB2312"/>
          <w:b/>
          <w:bCs/>
          <w:color w:val="000000"/>
          <w:spacing w:val="-20"/>
          <w:sz w:val="32"/>
          <w:szCs w:val="32"/>
          <w:lang w:val="en-US" w:eastAsia="zh-CN"/>
        </w:rPr>
        <w:t>二是</w:t>
      </w:r>
      <w:r>
        <w:rPr>
          <w:rFonts w:hint="default" w:ascii="仿宋_GB2312" w:hAnsi="仿宋_GB2312" w:eastAsia="仿宋_GB2312" w:cs="仿宋_GB2312"/>
          <w:color w:val="000000"/>
          <w:spacing w:val="-20"/>
          <w:sz w:val="32"/>
          <w:szCs w:val="32"/>
          <w:lang w:val="en-US" w:eastAsia="zh-CN"/>
        </w:rPr>
        <w:t>在信访局周边设置《信访工作条例》宣传板块</w:t>
      </w:r>
      <w:r>
        <w:rPr>
          <w:rFonts w:hint="eastAsia"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rPr>
        <w:t>电子宣示屏，引导群众逐级上访、依法上访。</w:t>
      </w:r>
      <w:r>
        <w:rPr>
          <w:rFonts w:hint="eastAsia" w:ascii="仿宋_GB2312" w:hAnsi="仿宋_GB2312" w:eastAsia="仿宋_GB2312" w:cs="仿宋_GB2312"/>
          <w:b/>
          <w:bCs/>
          <w:color w:val="000000"/>
          <w:spacing w:val="-20"/>
          <w:sz w:val="32"/>
          <w:szCs w:val="32"/>
          <w:lang w:val="en-US" w:eastAsia="zh-CN"/>
        </w:rPr>
        <w:t>三是</w:t>
      </w:r>
      <w:r>
        <w:rPr>
          <w:rFonts w:hint="default" w:ascii="仿宋_GB2312" w:hAnsi="仿宋_GB2312" w:eastAsia="仿宋_GB2312" w:cs="仿宋_GB2312"/>
          <w:color w:val="000000"/>
          <w:spacing w:val="-20"/>
          <w:sz w:val="32"/>
          <w:szCs w:val="32"/>
          <w:lang w:val="en-US" w:eastAsia="zh-CN"/>
        </w:rPr>
        <w:t>5月</w:t>
      </w:r>
      <w:r>
        <w:rPr>
          <w:rFonts w:hint="eastAsia" w:ascii="仿宋_GB2312" w:hAnsi="仿宋_GB2312" w:eastAsia="仿宋_GB2312" w:cs="仿宋_GB2312"/>
          <w:color w:val="000000"/>
          <w:spacing w:val="-20"/>
          <w:sz w:val="32"/>
          <w:szCs w:val="32"/>
          <w:lang w:val="en-US" w:eastAsia="zh-CN"/>
        </w:rPr>
        <w:t>2</w:t>
      </w:r>
      <w:r>
        <w:rPr>
          <w:rFonts w:hint="default" w:ascii="仿宋_GB2312" w:hAnsi="仿宋_GB2312" w:eastAsia="仿宋_GB2312" w:cs="仿宋_GB2312"/>
          <w:color w:val="000000"/>
          <w:spacing w:val="-20"/>
          <w:sz w:val="32"/>
          <w:szCs w:val="32"/>
          <w:lang w:val="en-US" w:eastAsia="zh-CN"/>
        </w:rPr>
        <w:t>7</w:t>
      </w:r>
      <w:r>
        <w:rPr>
          <w:rFonts w:hint="eastAsia" w:ascii="仿宋_GB2312" w:hAnsi="仿宋_GB2312" w:eastAsia="仿宋_GB2312" w:cs="仿宋_GB2312"/>
          <w:color w:val="000000"/>
          <w:spacing w:val="-20"/>
          <w:sz w:val="32"/>
          <w:szCs w:val="32"/>
          <w:lang w:val="en-US" w:eastAsia="zh-CN"/>
        </w:rPr>
        <w:t>日在市政府门前开展《信访工作条例》实施两周年、</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贯彻《信访工作条例》</w:t>
      </w:r>
      <w:r>
        <w:rPr>
          <w:rFonts w:hint="default" w:ascii="仿宋_GB2312" w:hAnsi="仿宋_GB2312" w:eastAsia="仿宋_GB2312" w:cs="仿宋_GB2312"/>
          <w:color w:val="000000"/>
          <w:spacing w:val="-20"/>
          <w:sz w:val="32"/>
          <w:szCs w:val="32"/>
          <w:lang w:val="en-US" w:eastAsia="zh-CN"/>
        </w:rPr>
        <w:t> </w:t>
      </w:r>
      <w:r>
        <w:rPr>
          <w:rFonts w:hint="eastAsia" w:ascii="仿宋_GB2312" w:hAnsi="仿宋_GB2312" w:eastAsia="仿宋_GB2312" w:cs="仿宋_GB2312"/>
          <w:color w:val="000000"/>
          <w:spacing w:val="-20"/>
          <w:sz w:val="32"/>
          <w:szCs w:val="32"/>
          <w:lang w:val="en-US" w:eastAsia="zh-CN"/>
        </w:rPr>
        <w:t>推进信访工作法治化</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为主题的普法志愿服务宣传活动，扩大群众对信访政策的知晓率显著提高。</w:t>
      </w:r>
    </w:p>
    <w:p w14:paraId="2E55ECB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color w:val="000000"/>
          <w:spacing w:val="-20"/>
          <w:sz w:val="32"/>
          <w:szCs w:val="32"/>
          <w:lang w:val="en-US" w:eastAsia="zh-CN"/>
        </w:rPr>
      </w:pPr>
      <w:r>
        <w:rPr>
          <w:rFonts w:hint="eastAsia" w:ascii="仿宋_GB2312" w:hAnsi="仿宋_GB2312" w:eastAsia="仿宋_GB2312" w:cs="仿宋_GB2312"/>
          <w:b/>
          <w:bCs/>
          <w:color w:val="000000"/>
          <w:spacing w:val="-20"/>
          <w:sz w:val="32"/>
          <w:szCs w:val="32"/>
        </w:rPr>
        <w:t>（</w:t>
      </w:r>
      <w:r>
        <w:rPr>
          <w:rFonts w:hint="eastAsia" w:ascii="仿宋_GB2312" w:hAnsi="仿宋_GB2312" w:eastAsia="仿宋_GB2312" w:cs="仿宋_GB2312"/>
          <w:b/>
          <w:bCs/>
          <w:color w:val="000000"/>
          <w:spacing w:val="-20"/>
          <w:sz w:val="32"/>
          <w:szCs w:val="32"/>
          <w:lang w:val="en-US" w:eastAsia="zh-CN"/>
        </w:rPr>
        <w:t>四</w:t>
      </w:r>
      <w:r>
        <w:rPr>
          <w:rFonts w:hint="eastAsia" w:ascii="仿宋_GB2312" w:hAnsi="仿宋_GB2312" w:eastAsia="仿宋_GB2312" w:cs="仿宋_GB2312"/>
          <w:b/>
          <w:bCs/>
          <w:color w:val="000000"/>
          <w:spacing w:val="-20"/>
          <w:sz w:val="32"/>
          <w:szCs w:val="32"/>
        </w:rPr>
        <w:t>）</w:t>
      </w:r>
      <w:r>
        <w:rPr>
          <w:rFonts w:hint="eastAsia" w:ascii="仿宋_GB2312" w:hAnsi="仿宋_GB2312" w:eastAsia="仿宋_GB2312" w:cs="仿宋_GB2312"/>
          <w:b/>
          <w:bCs/>
          <w:color w:val="000000"/>
          <w:spacing w:val="-20"/>
          <w:sz w:val="32"/>
          <w:szCs w:val="32"/>
          <w:lang w:val="en-US" w:eastAsia="zh-CN"/>
        </w:rPr>
        <w:t>积极主动作为，推进信访工作法治化。一是</w:t>
      </w:r>
      <w:r>
        <w:rPr>
          <w:rFonts w:hint="eastAsia" w:ascii="仿宋_GB2312" w:hAnsi="仿宋_GB2312" w:eastAsia="仿宋_GB2312" w:cs="仿宋_GB2312"/>
          <w:b w:val="0"/>
          <w:bCs w:val="0"/>
          <w:color w:val="000000"/>
          <w:spacing w:val="-20"/>
          <w:sz w:val="32"/>
          <w:szCs w:val="32"/>
          <w:lang w:val="en-US" w:eastAsia="zh-CN"/>
        </w:rPr>
        <w:t>推进预防法治化。完善领导</w:t>
      </w:r>
      <w:r>
        <w:rPr>
          <w:rFonts w:hint="eastAsia" w:ascii="仿宋_GB2312" w:hAnsi="仿宋_GB2312" w:eastAsia="仿宋_GB2312" w:cs="仿宋_GB2312"/>
          <w:color w:val="000000"/>
          <w:spacing w:val="-20"/>
          <w:sz w:val="32"/>
          <w:szCs w:val="32"/>
          <w:lang w:val="en-US" w:eastAsia="zh-CN"/>
        </w:rPr>
        <w:t>干部接访下访制度，着重抓实区领导接访批示件办理质量，缩短信访件办理情况反馈时长，同时纳入信访监督；建立风险隐患防范处置制度，对信访数据进行定期分析，及时发现信访风险，并发出预警。</w:t>
      </w:r>
      <w:r>
        <w:rPr>
          <w:rFonts w:hint="eastAsia" w:ascii="仿宋_GB2312" w:hAnsi="仿宋_GB2312" w:eastAsia="仿宋_GB2312" w:cs="仿宋_GB2312"/>
          <w:b/>
          <w:bCs/>
          <w:color w:val="000000"/>
          <w:spacing w:val="-20"/>
          <w:sz w:val="32"/>
          <w:szCs w:val="32"/>
          <w:lang w:val="en-US" w:eastAsia="zh-CN"/>
        </w:rPr>
        <w:t>二是</w:t>
      </w:r>
      <w:r>
        <w:rPr>
          <w:rFonts w:hint="eastAsia" w:ascii="仿宋_GB2312" w:hAnsi="仿宋_GB2312" w:eastAsia="仿宋_GB2312" w:cs="仿宋_GB2312"/>
          <w:b w:val="0"/>
          <w:bCs w:val="0"/>
          <w:color w:val="000000"/>
          <w:spacing w:val="-20"/>
          <w:sz w:val="32"/>
          <w:szCs w:val="32"/>
          <w:lang w:val="en-US" w:eastAsia="zh-CN"/>
        </w:rPr>
        <w:t>推进受理法治化。认</w:t>
      </w:r>
      <w:r>
        <w:rPr>
          <w:rFonts w:hint="eastAsia" w:ascii="仿宋_GB2312" w:hAnsi="仿宋_GB2312" w:eastAsia="仿宋_GB2312" w:cs="仿宋_GB2312"/>
          <w:color w:val="000000"/>
          <w:spacing w:val="-20"/>
          <w:sz w:val="32"/>
          <w:szCs w:val="32"/>
          <w:lang w:val="en-US" w:eastAsia="zh-CN"/>
        </w:rPr>
        <w:t>真对照</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信访法治化工作指南</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和</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路线图</w:t>
      </w:r>
      <w:r>
        <w:rPr>
          <w:rFonts w:hint="default"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color w:val="000000"/>
          <w:spacing w:val="-20"/>
          <w:sz w:val="32"/>
          <w:szCs w:val="32"/>
          <w:lang w:val="en-US" w:eastAsia="zh-CN"/>
        </w:rPr>
        <w:t>，严格落实诉访分离，对申诉求决类信访事项，区分不同情形，指导有权处理机关导入不同途径按规定、按程序、按时限进行办理。</w:t>
      </w:r>
      <w:r>
        <w:rPr>
          <w:rFonts w:hint="eastAsia" w:ascii="仿宋_GB2312" w:hAnsi="仿宋_GB2312" w:eastAsia="仿宋_GB2312" w:cs="仿宋_GB2312"/>
          <w:b/>
          <w:bCs/>
          <w:color w:val="000000"/>
          <w:spacing w:val="-20"/>
          <w:sz w:val="32"/>
          <w:szCs w:val="32"/>
          <w:lang w:val="en-US" w:eastAsia="zh-CN"/>
        </w:rPr>
        <w:t>三是</w:t>
      </w:r>
      <w:r>
        <w:rPr>
          <w:rFonts w:hint="eastAsia" w:ascii="仿宋_GB2312" w:hAnsi="仿宋_GB2312" w:eastAsia="仿宋_GB2312" w:cs="仿宋_GB2312"/>
          <w:b w:val="0"/>
          <w:bCs w:val="0"/>
          <w:color w:val="000000"/>
          <w:spacing w:val="-20"/>
          <w:sz w:val="32"/>
          <w:szCs w:val="32"/>
          <w:lang w:val="en-US" w:eastAsia="zh-CN"/>
        </w:rPr>
        <w:t>推进办理法治化。严格按</w:t>
      </w:r>
      <w:r>
        <w:rPr>
          <w:rFonts w:hint="eastAsia" w:ascii="仿宋_GB2312" w:hAnsi="仿宋_GB2312" w:eastAsia="仿宋_GB2312" w:cs="仿宋_GB2312"/>
          <w:color w:val="000000"/>
          <w:spacing w:val="-20"/>
          <w:sz w:val="32"/>
          <w:szCs w:val="32"/>
          <w:lang w:val="en-US" w:eastAsia="zh-CN"/>
        </w:rPr>
        <w:t>照法律规定和程序办理信访事项，依法及时解决群众诉求。信访事项及时受理率达到</w:t>
      </w:r>
      <w:r>
        <w:rPr>
          <w:rFonts w:hint="default" w:ascii="仿宋_GB2312" w:hAnsi="仿宋_GB2312" w:eastAsia="仿宋_GB2312" w:cs="仿宋_GB2312"/>
          <w:color w:val="000000"/>
          <w:spacing w:val="-20"/>
          <w:sz w:val="32"/>
          <w:szCs w:val="32"/>
          <w:lang w:val="en-US" w:eastAsia="zh-CN"/>
        </w:rPr>
        <w:t>100%</w:t>
      </w:r>
      <w:r>
        <w:rPr>
          <w:rFonts w:hint="eastAsia" w:ascii="仿宋_GB2312" w:hAnsi="仿宋_GB2312" w:eastAsia="仿宋_GB2312" w:cs="仿宋_GB2312"/>
          <w:color w:val="000000"/>
          <w:spacing w:val="-20"/>
          <w:sz w:val="32"/>
          <w:szCs w:val="32"/>
          <w:lang w:val="en-US" w:eastAsia="zh-CN"/>
        </w:rPr>
        <w:t>。</w:t>
      </w:r>
      <w:r>
        <w:rPr>
          <w:rFonts w:hint="eastAsia" w:ascii="仿宋_GB2312" w:hAnsi="仿宋_GB2312" w:eastAsia="仿宋_GB2312" w:cs="仿宋_GB2312"/>
          <w:b/>
          <w:bCs/>
          <w:color w:val="000000"/>
          <w:spacing w:val="-20"/>
          <w:sz w:val="32"/>
          <w:szCs w:val="32"/>
          <w:lang w:val="en-US" w:eastAsia="zh-CN"/>
        </w:rPr>
        <w:t>四是</w:t>
      </w:r>
      <w:r>
        <w:rPr>
          <w:rFonts w:hint="eastAsia" w:ascii="仿宋_GB2312" w:hAnsi="仿宋_GB2312" w:eastAsia="仿宋_GB2312" w:cs="仿宋_GB2312"/>
          <w:b w:val="0"/>
          <w:bCs w:val="0"/>
          <w:color w:val="000000"/>
          <w:spacing w:val="-20"/>
          <w:sz w:val="32"/>
          <w:szCs w:val="32"/>
          <w:lang w:val="en-US" w:eastAsia="zh-CN"/>
        </w:rPr>
        <w:t>推进监督追责法治化。加大督促检查重要信访事项的处理和落实力度，对信访事</w:t>
      </w:r>
      <w:r>
        <w:rPr>
          <w:rFonts w:hint="eastAsia" w:ascii="仿宋_GB2312" w:hAnsi="仿宋_GB2312" w:eastAsia="仿宋_GB2312" w:cs="仿宋_GB2312"/>
          <w:color w:val="000000"/>
          <w:spacing w:val="-20"/>
          <w:sz w:val="32"/>
          <w:szCs w:val="32"/>
          <w:lang w:val="en-US" w:eastAsia="zh-CN"/>
        </w:rPr>
        <w:t>项进行提醒关注和电话督促，切实抓好信访责任落实工作。</w:t>
      </w:r>
      <w:r>
        <w:rPr>
          <w:rFonts w:hint="eastAsia" w:ascii="仿宋_GB2312" w:hAnsi="仿宋_GB2312" w:eastAsia="仿宋_GB2312" w:cs="仿宋_GB2312"/>
          <w:b/>
          <w:bCs/>
          <w:color w:val="000000"/>
          <w:spacing w:val="-20"/>
          <w:kern w:val="0"/>
          <w:sz w:val="32"/>
          <w:szCs w:val="32"/>
          <w:lang w:val="en-US" w:eastAsia="zh-CN" w:bidi="ar"/>
        </w:rPr>
        <w:t>五是</w:t>
      </w:r>
      <w:r>
        <w:rPr>
          <w:rFonts w:hint="default" w:ascii="仿宋_GB2312" w:hAnsi="仿宋_GB2312" w:eastAsia="仿宋_GB2312" w:cs="仿宋_GB2312"/>
          <w:b w:val="0"/>
          <w:bCs w:val="0"/>
          <w:color w:val="000000"/>
          <w:spacing w:val="-20"/>
          <w:kern w:val="0"/>
          <w:sz w:val="32"/>
          <w:szCs w:val="32"/>
          <w:lang w:val="en-US" w:eastAsia="zh-CN" w:bidi="ar"/>
        </w:rPr>
        <w:t>维护秩序法治化</w:t>
      </w:r>
      <w:r>
        <w:rPr>
          <w:rFonts w:hint="eastAsia" w:ascii="仿宋_GB2312" w:hAnsi="仿宋_GB2312" w:eastAsia="仿宋_GB2312" w:cs="仿宋_GB2312"/>
          <w:b w:val="0"/>
          <w:bCs w:val="0"/>
          <w:color w:val="000000"/>
          <w:spacing w:val="-20"/>
          <w:kern w:val="0"/>
          <w:sz w:val="32"/>
          <w:szCs w:val="32"/>
          <w:lang w:val="en-US" w:eastAsia="zh-CN" w:bidi="ar"/>
        </w:rPr>
        <w:t>。</w:t>
      </w:r>
      <w:r>
        <w:rPr>
          <w:rFonts w:hint="eastAsia" w:ascii="仿宋_GB2312" w:hAnsi="仿宋_GB2312" w:eastAsia="仿宋_GB2312" w:cs="仿宋_GB2312"/>
          <w:color w:val="000000"/>
          <w:spacing w:val="-20"/>
          <w:sz w:val="32"/>
          <w:szCs w:val="32"/>
        </w:rPr>
        <w:t>加强对重复上访、越级上访人员的法治教育，引导依法、理性上访</w:t>
      </w:r>
      <w:r>
        <w:rPr>
          <w:rFonts w:hint="eastAsia" w:ascii="仿宋_GB2312" w:hAnsi="仿宋_GB2312" w:eastAsia="仿宋_GB2312" w:cs="仿宋_GB2312"/>
          <w:color w:val="000000"/>
          <w:spacing w:val="-20"/>
          <w:sz w:val="32"/>
          <w:szCs w:val="32"/>
          <w:lang w:eastAsia="zh-CN"/>
        </w:rPr>
        <w:t>，按照</w:t>
      </w:r>
      <w:r>
        <w:rPr>
          <w:rFonts w:hint="eastAsia" w:ascii="仿宋_GB2312" w:hAnsi="仿宋_GB2312" w:eastAsia="仿宋_GB2312" w:cs="仿宋_GB2312"/>
          <w:spacing w:val="-20"/>
          <w:sz w:val="32"/>
          <w:szCs w:val="32"/>
        </w:rPr>
        <w:t>《湖滨区依法处置信访活动中违法犯罪行为的通告》</w:t>
      </w:r>
      <w:r>
        <w:rPr>
          <w:rFonts w:hint="eastAsia" w:ascii="仿宋_GB2312" w:hAnsi="仿宋_GB2312" w:eastAsia="仿宋_GB2312" w:cs="仿宋_GB2312"/>
          <w:color w:val="000000"/>
          <w:spacing w:val="-20"/>
          <w:sz w:val="32"/>
          <w:szCs w:val="32"/>
        </w:rPr>
        <w:t>，对依法予以行政处罚及情节严重构成犯罪的违法上访行为作出</w:t>
      </w:r>
      <w:r>
        <w:rPr>
          <w:rFonts w:hint="eastAsia" w:ascii="仿宋_GB2312" w:hAnsi="仿宋_GB2312" w:eastAsia="仿宋_GB2312" w:cs="仿宋_GB2312"/>
          <w:color w:val="000000"/>
          <w:spacing w:val="-20"/>
          <w:sz w:val="32"/>
          <w:szCs w:val="32"/>
          <w:lang w:eastAsia="zh-CN"/>
        </w:rPr>
        <w:t>处理</w:t>
      </w:r>
      <w:r>
        <w:rPr>
          <w:rFonts w:hint="eastAsia" w:ascii="仿宋_GB2312" w:hAnsi="仿宋_GB2312" w:eastAsia="仿宋_GB2312" w:cs="仿宋_GB2312"/>
          <w:color w:val="000000"/>
          <w:spacing w:val="-20"/>
          <w:sz w:val="32"/>
          <w:szCs w:val="32"/>
        </w:rPr>
        <w:t>，维护正常信访秩序</w:t>
      </w:r>
      <w:r>
        <w:rPr>
          <w:rFonts w:hint="eastAsia" w:ascii="仿宋_GB2312" w:hAnsi="仿宋_GB2312" w:eastAsia="仿宋_GB2312" w:cs="仿宋_GB2312"/>
          <w:color w:val="000000"/>
          <w:spacing w:val="-20"/>
          <w:sz w:val="32"/>
          <w:szCs w:val="32"/>
          <w:lang w:eastAsia="zh-CN"/>
        </w:rPr>
        <w:t>。</w:t>
      </w:r>
      <w:r>
        <w:rPr>
          <w:rFonts w:hint="eastAsia" w:ascii="仿宋_GB2312" w:hAnsi="仿宋_GB2312" w:eastAsia="仿宋_GB2312" w:cs="仿宋_GB2312"/>
          <w:color w:val="000000"/>
          <w:spacing w:val="-20"/>
          <w:sz w:val="32"/>
          <w:szCs w:val="32"/>
        </w:rPr>
        <w:t>202</w:t>
      </w:r>
      <w:r>
        <w:rPr>
          <w:rFonts w:hint="eastAsia" w:ascii="仿宋_GB2312" w:hAnsi="仿宋_GB2312" w:eastAsia="仿宋_GB2312" w:cs="仿宋_GB2312"/>
          <w:color w:val="000000"/>
          <w:spacing w:val="-20"/>
          <w:sz w:val="32"/>
          <w:szCs w:val="32"/>
          <w:lang w:val="en-US" w:eastAsia="zh-CN"/>
        </w:rPr>
        <w:t>4</w:t>
      </w:r>
      <w:r>
        <w:rPr>
          <w:rFonts w:hint="eastAsia" w:ascii="仿宋_GB2312" w:hAnsi="仿宋_GB2312" w:eastAsia="仿宋_GB2312" w:cs="仿宋_GB2312"/>
          <w:color w:val="000000"/>
          <w:spacing w:val="-20"/>
          <w:sz w:val="32"/>
          <w:szCs w:val="32"/>
        </w:rPr>
        <w:t>年未发生恶性信访案件，信访秩序明显好转。</w:t>
      </w:r>
    </w:p>
    <w:p w14:paraId="43203DD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8" w:firstLineChars="200"/>
        <w:jc w:val="both"/>
        <w:textAlignment w:val="auto"/>
        <w:rPr>
          <w:rFonts w:hint="eastAsia" w:ascii="黑体" w:hAnsi="黑体" w:eastAsia="黑体" w:cs="黑体"/>
          <w:color w:val="000000"/>
          <w:spacing w:val="-20"/>
          <w:sz w:val="32"/>
          <w:szCs w:val="32"/>
        </w:rPr>
      </w:pPr>
      <w:r>
        <w:rPr>
          <w:rFonts w:hint="eastAsia" w:ascii="黑体" w:hAnsi="黑体" w:eastAsia="黑体" w:cs="黑体"/>
          <w:color w:val="000000"/>
          <w:spacing w:val="-20"/>
          <w:sz w:val="32"/>
          <w:szCs w:val="32"/>
        </w:rPr>
        <w:t>三、</w:t>
      </w:r>
      <w:r>
        <w:rPr>
          <w:rFonts w:hint="eastAsia" w:ascii="黑体" w:hAnsi="黑体" w:eastAsia="黑体" w:cs="黑体"/>
          <w:color w:val="000000"/>
          <w:spacing w:val="-20"/>
          <w:sz w:val="32"/>
          <w:szCs w:val="32"/>
          <w:lang w:val="en-US" w:eastAsia="zh-CN"/>
        </w:rPr>
        <w:t>推进法治政府建设存在问题</w:t>
      </w:r>
    </w:p>
    <w:p w14:paraId="54C43FD5">
      <w:pPr>
        <w:keepNext w:val="0"/>
        <w:keepLines w:val="0"/>
        <w:pageBreakBefore w:val="0"/>
        <w:widowControl/>
        <w:suppressLineNumbers w:val="0"/>
        <w:kinsoku/>
        <w:wordWrap/>
        <w:overflowPunct/>
        <w:topLinePunct w:val="0"/>
        <w:autoSpaceDE/>
        <w:autoSpaceDN/>
        <w:bidi w:val="0"/>
        <w:adjustRightInd/>
        <w:snapToGrid/>
        <w:spacing w:line="560" w:lineRule="exact"/>
        <w:ind w:firstLine="648" w:firstLineChars="200"/>
        <w:jc w:val="both"/>
        <w:textAlignment w:val="auto"/>
        <w:rPr>
          <w:rFonts w:hint="eastAsia" w:ascii="仿宋_GB2312" w:hAnsi="仿宋_GB2312" w:eastAsia="仿宋_GB2312" w:cs="仿宋_GB2312"/>
          <w:color w:val="000000"/>
          <w:spacing w:val="-20"/>
          <w:kern w:val="0"/>
          <w:sz w:val="32"/>
          <w:szCs w:val="32"/>
          <w:lang w:val="en-US" w:eastAsia="zh-CN" w:bidi="ar"/>
        </w:rPr>
      </w:pPr>
      <w:r>
        <w:rPr>
          <w:rFonts w:hint="default" w:ascii="仿宋_GB2312" w:hAnsi="仿宋_GB2312" w:eastAsia="仿宋_GB2312" w:cs="仿宋_GB2312"/>
          <w:color w:val="000000"/>
          <w:spacing w:val="-20"/>
          <w:kern w:val="0"/>
          <w:sz w:val="32"/>
          <w:szCs w:val="32"/>
          <w:lang w:val="en-US" w:eastAsia="zh-CN" w:bidi="ar"/>
        </w:rPr>
        <w:t>今年以来，我局法治政府建设工作取得了一定的成效，但仍存在不足：</w:t>
      </w:r>
      <w:r>
        <w:rPr>
          <w:rFonts w:hint="default" w:ascii="仿宋_GB2312" w:hAnsi="仿宋_GB2312" w:eastAsia="仿宋_GB2312" w:cs="仿宋_GB2312"/>
          <w:b/>
          <w:bCs/>
          <w:color w:val="000000"/>
          <w:spacing w:val="-20"/>
          <w:kern w:val="0"/>
          <w:sz w:val="32"/>
          <w:szCs w:val="32"/>
          <w:lang w:val="en-US" w:eastAsia="zh-CN" w:bidi="ar"/>
        </w:rPr>
        <w:t>一是</w:t>
      </w:r>
      <w:r>
        <w:rPr>
          <w:rFonts w:hint="default" w:ascii="仿宋_GB2312" w:hAnsi="仿宋_GB2312" w:eastAsia="仿宋_GB2312" w:cs="仿宋_GB2312"/>
          <w:color w:val="000000"/>
          <w:spacing w:val="-20"/>
          <w:kern w:val="0"/>
          <w:sz w:val="32"/>
          <w:szCs w:val="32"/>
          <w:lang w:val="en-US" w:eastAsia="zh-CN" w:bidi="ar"/>
        </w:rPr>
        <w:t>法治宣传教育形式不够丰富，法治宣传工作覆盖面较窄;</w:t>
      </w:r>
      <w:r>
        <w:rPr>
          <w:rFonts w:hint="default" w:ascii="仿宋_GB2312" w:hAnsi="仿宋_GB2312" w:eastAsia="仿宋_GB2312" w:cs="仿宋_GB2312"/>
          <w:b/>
          <w:bCs/>
          <w:color w:val="000000"/>
          <w:spacing w:val="-20"/>
          <w:kern w:val="0"/>
          <w:sz w:val="32"/>
          <w:szCs w:val="32"/>
          <w:lang w:val="en-US" w:eastAsia="zh-CN" w:bidi="ar"/>
        </w:rPr>
        <w:t>二是</w:t>
      </w:r>
      <w:r>
        <w:rPr>
          <w:rFonts w:hint="default" w:ascii="仿宋_GB2312" w:hAnsi="仿宋_GB2312" w:eastAsia="仿宋_GB2312" w:cs="仿宋_GB2312"/>
          <w:color w:val="000000"/>
          <w:spacing w:val="-20"/>
          <w:kern w:val="0"/>
          <w:sz w:val="32"/>
          <w:szCs w:val="32"/>
          <w:lang w:val="en-US" w:eastAsia="zh-CN" w:bidi="ar"/>
        </w:rPr>
        <w:t>干部职工运用法治思维和法治方式推动工作的意识和能力有待进一步提高。</w:t>
      </w:r>
    </w:p>
    <w:p w14:paraId="2F39545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8" w:firstLineChars="200"/>
        <w:jc w:val="both"/>
        <w:textAlignment w:val="auto"/>
        <w:rPr>
          <w:rFonts w:hint="default" w:ascii="黑体" w:hAnsi="黑体" w:eastAsia="黑体" w:cs="黑体"/>
          <w:color w:val="000000"/>
          <w:spacing w:val="-20"/>
          <w:sz w:val="32"/>
          <w:szCs w:val="32"/>
          <w:lang w:val="en-US" w:eastAsia="zh-CN"/>
        </w:rPr>
      </w:pPr>
      <w:r>
        <w:rPr>
          <w:rFonts w:hint="eastAsia" w:ascii="黑体" w:hAnsi="黑体" w:eastAsia="黑体" w:cs="黑体"/>
          <w:color w:val="000000"/>
          <w:spacing w:val="-20"/>
          <w:sz w:val="32"/>
          <w:szCs w:val="32"/>
          <w:lang w:val="en-US" w:eastAsia="zh-CN"/>
        </w:rPr>
        <w:t>四</w:t>
      </w:r>
      <w:r>
        <w:rPr>
          <w:rFonts w:hint="eastAsia" w:ascii="黑体" w:hAnsi="黑体" w:eastAsia="黑体" w:cs="黑体"/>
          <w:color w:val="000000"/>
          <w:spacing w:val="-20"/>
          <w:sz w:val="32"/>
          <w:szCs w:val="32"/>
        </w:rPr>
        <w:t>、</w:t>
      </w:r>
      <w:r>
        <w:rPr>
          <w:rFonts w:hint="eastAsia" w:ascii="黑体" w:hAnsi="黑体" w:eastAsia="黑体" w:cs="黑体"/>
          <w:color w:val="000000"/>
          <w:spacing w:val="-20"/>
          <w:sz w:val="32"/>
          <w:szCs w:val="32"/>
          <w:lang w:val="en-US" w:eastAsia="zh-CN"/>
        </w:rPr>
        <w:t>2025年推进法治政府建设初步安排</w:t>
      </w:r>
    </w:p>
    <w:p w14:paraId="243C43C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b/>
          <w:bCs/>
          <w:color w:val="000000"/>
          <w:spacing w:val="-20"/>
          <w:sz w:val="32"/>
          <w:szCs w:val="32"/>
        </w:rPr>
        <w:t>一是</w:t>
      </w:r>
      <w:r>
        <w:rPr>
          <w:rFonts w:hint="eastAsia" w:ascii="仿宋_GB2312" w:hAnsi="仿宋_GB2312" w:eastAsia="仿宋_GB2312" w:cs="仿宋_GB2312"/>
          <w:b w:val="0"/>
          <w:bCs w:val="0"/>
          <w:color w:val="000000"/>
          <w:spacing w:val="-20"/>
          <w:sz w:val="32"/>
          <w:szCs w:val="32"/>
        </w:rPr>
        <w:t>进一步强化组织领导。持续</w:t>
      </w:r>
      <w:r>
        <w:rPr>
          <w:rFonts w:hint="eastAsia" w:ascii="仿宋_GB2312" w:hAnsi="仿宋_GB2312" w:eastAsia="仿宋_GB2312" w:cs="仿宋_GB2312"/>
          <w:color w:val="000000"/>
          <w:spacing w:val="-20"/>
          <w:sz w:val="32"/>
          <w:szCs w:val="32"/>
        </w:rPr>
        <w:t>认真贯彻落实关于依法行政建设法治政府工作的部署和要求，进一步提高政治站位，加强组织领导，坚持落实机关干部带头学法用</w:t>
      </w:r>
      <w:r>
        <w:rPr>
          <w:rFonts w:hint="eastAsia" w:ascii="仿宋_GB2312" w:hAnsi="仿宋_GB2312" w:eastAsia="仿宋_GB2312" w:cs="仿宋_GB2312"/>
          <w:color w:val="000000"/>
          <w:spacing w:val="-20"/>
          <w:sz w:val="32"/>
          <w:szCs w:val="32"/>
          <w:lang w:eastAsia="zh-CN"/>
        </w:rPr>
        <w:t>法治</w:t>
      </w:r>
      <w:r>
        <w:rPr>
          <w:rFonts w:hint="eastAsia" w:ascii="仿宋_GB2312" w:hAnsi="仿宋_GB2312" w:eastAsia="仿宋_GB2312" w:cs="仿宋_GB2312"/>
          <w:color w:val="000000"/>
          <w:spacing w:val="-20"/>
          <w:sz w:val="32"/>
          <w:szCs w:val="32"/>
        </w:rPr>
        <w:t>度，时刻以法治思维谋划工作，牢牢树立法治先行、法治保障的事项和意识，全力推进法治政府建设任务落细落实。</w:t>
      </w:r>
    </w:p>
    <w:p w14:paraId="65FBF73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8" w:firstLineChars="200"/>
        <w:jc w:val="both"/>
        <w:textAlignment w:val="auto"/>
        <w:rPr>
          <w:rFonts w:hint="eastAsia" w:ascii="仿宋_GB2312" w:hAnsi="仿宋_GB2312" w:eastAsia="仿宋_GB2312" w:cs="仿宋_GB2312"/>
          <w:color w:val="000000"/>
          <w:spacing w:val="-20"/>
          <w:sz w:val="32"/>
          <w:szCs w:val="32"/>
        </w:rPr>
      </w:pPr>
      <w:bookmarkStart w:id="0" w:name="_GoBack"/>
      <w:bookmarkEnd w:id="0"/>
      <w:r>
        <w:rPr>
          <w:rFonts w:hint="eastAsia" w:ascii="仿宋_GB2312" w:hAnsi="仿宋_GB2312" w:eastAsia="仿宋_GB2312" w:cs="仿宋_GB2312"/>
          <w:b/>
          <w:bCs/>
          <w:color w:val="000000"/>
          <w:spacing w:val="-20"/>
          <w:sz w:val="32"/>
          <w:szCs w:val="32"/>
        </w:rPr>
        <w:t>二是</w:t>
      </w:r>
      <w:r>
        <w:rPr>
          <w:rFonts w:hint="eastAsia" w:ascii="仿宋_GB2312" w:hAnsi="仿宋_GB2312" w:eastAsia="仿宋_GB2312" w:cs="仿宋_GB2312"/>
          <w:b w:val="0"/>
          <w:bCs w:val="0"/>
          <w:color w:val="000000"/>
          <w:spacing w:val="-20"/>
          <w:sz w:val="32"/>
          <w:szCs w:val="32"/>
        </w:rPr>
        <w:t>进一步加强政治思想建设。始终把习</w:t>
      </w:r>
      <w:r>
        <w:rPr>
          <w:rFonts w:hint="eastAsia" w:ascii="仿宋_GB2312" w:hAnsi="仿宋_GB2312" w:eastAsia="仿宋_GB2312" w:cs="仿宋_GB2312"/>
          <w:color w:val="000000"/>
          <w:spacing w:val="-20"/>
          <w:sz w:val="32"/>
          <w:szCs w:val="32"/>
        </w:rPr>
        <w:t>近平法治思想作为根本遵循，坚持原原本本学、逐字逐句学，深入领会习近平法治思想的丰富内涵与精神实质，全面系统地学习各类相关法律法规。创新学法方式，通过观看法治教育警示片、鼓励自主学习与分享交流等多元形式，帮助党员干部真正做到知法懂法、学法用法，切实提升依法行政能力和水平。</w:t>
      </w:r>
    </w:p>
    <w:p w14:paraId="01590E7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b/>
          <w:bCs/>
          <w:color w:val="000000"/>
          <w:spacing w:val="-20"/>
          <w:sz w:val="32"/>
          <w:szCs w:val="32"/>
        </w:rPr>
        <w:t>三是</w:t>
      </w:r>
      <w:r>
        <w:rPr>
          <w:rFonts w:hint="eastAsia" w:ascii="仿宋_GB2312" w:hAnsi="仿宋_GB2312" w:eastAsia="仿宋_GB2312" w:cs="仿宋_GB2312"/>
          <w:b w:val="0"/>
          <w:bCs w:val="0"/>
          <w:color w:val="000000"/>
          <w:spacing w:val="-20"/>
          <w:sz w:val="32"/>
          <w:szCs w:val="32"/>
        </w:rPr>
        <w:t>进一步提升普法宣传实效。利用接待信访</w:t>
      </w:r>
      <w:r>
        <w:rPr>
          <w:rFonts w:hint="eastAsia" w:ascii="仿宋_GB2312" w:hAnsi="仿宋_GB2312" w:eastAsia="仿宋_GB2312" w:cs="仿宋_GB2312"/>
          <w:color w:val="000000"/>
          <w:spacing w:val="-20"/>
          <w:sz w:val="32"/>
          <w:szCs w:val="32"/>
        </w:rPr>
        <w:t>问题的机会向群众宣传政策法规，将普法依法治理工作融入信访工作，推动信访法治化建设进程；加大法律法规的宣传力度，加强</w:t>
      </w:r>
      <w:r>
        <w:rPr>
          <w:rFonts w:hint="eastAsia" w:ascii="仿宋_GB2312" w:hAnsi="仿宋_GB2312" w:eastAsia="仿宋_GB2312" w:cs="仿宋_GB2312"/>
          <w:color w:val="000000"/>
          <w:spacing w:val="-20"/>
          <w:sz w:val="32"/>
          <w:szCs w:val="32"/>
          <w:lang w:val="en-US" w:eastAsia="zh-CN"/>
        </w:rPr>
        <w:t>乡街道</w:t>
      </w:r>
      <w:r>
        <w:rPr>
          <w:rFonts w:hint="eastAsia" w:ascii="仿宋_GB2312" w:hAnsi="仿宋_GB2312" w:eastAsia="仿宋_GB2312" w:cs="仿宋_GB2312"/>
          <w:color w:val="000000"/>
          <w:spacing w:val="-20"/>
          <w:sz w:val="32"/>
          <w:szCs w:val="32"/>
        </w:rPr>
        <w:t>、村（社区）的互动，加强舆论引导，营造安定稳定的社会环境。</w:t>
      </w:r>
    </w:p>
    <w:p w14:paraId="5D3820D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p>
    <w:p w14:paraId="52A676E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p>
    <w:p w14:paraId="7B9D9AC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p>
    <w:p w14:paraId="40ED94F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jc w:val="right"/>
        <w:textAlignment w:val="auto"/>
        <w:rPr>
          <w:rFonts w:hint="default" w:ascii="仿宋_GB2312" w:hAnsi="仿宋_GB2312" w:eastAsia="仿宋_GB2312" w:cs="仿宋_GB2312"/>
          <w:color w:val="000000"/>
          <w:sz w:val="32"/>
          <w:szCs w:val="32"/>
          <w:lang w:val="en-US" w:eastAsia="zh-CN"/>
        </w:rPr>
      </w:pPr>
    </w:p>
    <w:sectPr>
      <w:pgSz w:w="12240" w:h="15840"/>
      <w:pgMar w:top="2211" w:right="1531" w:bottom="1871" w:left="1531" w:header="720" w:footer="720" w:gutter="0"/>
      <w:lnNumType w:countBy="0" w:distance="360"/>
      <w:pgNumType w:fmt="numberInDash"/>
      <w:cols w:space="0" w:num="1"/>
      <w:rtlGutter w:val="0"/>
      <w:docGrid w:type="linesAndChars" w:linePitch="519" w:charSpace="9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5024D6-0ECA-438A-9097-211C81644C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00000001" w:usb1="080E0000" w:usb2="00000000" w:usb3="00000000" w:csb0="00040000" w:csb1="00000000"/>
    <w:embedRegular r:id="rId2" w:fontKey="{55B27186-8BFD-43E0-B3E5-DD73CAF9BF3A}"/>
  </w:font>
  <w:font w:name="仿宋_GB2312">
    <w:panose1 w:val="02010609030101010101"/>
    <w:charset w:val="86"/>
    <w:family w:val="modern"/>
    <w:pitch w:val="default"/>
    <w:sig w:usb0="00000001" w:usb1="080E0000" w:usb2="00000000" w:usb3="00000000" w:csb0="00040000" w:csb1="00000000"/>
    <w:embedRegular r:id="rId3" w:fontKey="{88394C9C-3B33-426D-8F0D-F81F70DBEF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A0C83"/>
    <w:rsid w:val="047168CE"/>
    <w:rsid w:val="08B9073E"/>
    <w:rsid w:val="17CA0C83"/>
    <w:rsid w:val="1D0667AD"/>
    <w:rsid w:val="2455546D"/>
    <w:rsid w:val="2C3D6F12"/>
    <w:rsid w:val="2CCA780B"/>
    <w:rsid w:val="3986639D"/>
    <w:rsid w:val="4DF0531D"/>
    <w:rsid w:val="572F3420"/>
    <w:rsid w:val="7EB73ECF"/>
    <w:rsid w:val="7F4F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Times New Roman" w:hAnsi="Times New Roman" w:eastAsia="宋体" w:cs="Times New Roman"/>
      <w:kern w:val="2"/>
      <w:sz w:val="21"/>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rPr>
      <w:rFonts w:hint="eastAsia" w:ascii="仿宋" w:hAnsi="仿宋" w:eastAsia="仿宋" w:cs="仿宋"/>
      <w:sz w:val="32"/>
      <w:szCs w:val="32"/>
      <w:lang w:val="zh-CN" w:eastAsia="zh-CN" w:bidi="zh-CN"/>
    </w:rPr>
  </w:style>
  <w:style w:type="paragraph" w:styleId="3">
    <w:name w:val="Body Text Indent"/>
    <w:basedOn w:val="1"/>
    <w:unhideWhenUsed/>
    <w:qFormat/>
    <w:uiPriority w:val="0"/>
    <w:pPr>
      <w:spacing w:after="120"/>
      <w:ind w:left="420" w:leftChars="200"/>
    </w:pPr>
    <w:rPr>
      <w:rFonts w:hint="eastAsia"/>
      <w:sz w:val="21"/>
      <w:szCs w:val="24"/>
    </w:rPr>
  </w:style>
  <w:style w:type="paragraph" w:styleId="4">
    <w:name w:val="Normal (Web)"/>
    <w:basedOn w:val="1"/>
    <w:unhideWhenUsed/>
    <w:qFormat/>
    <w:uiPriority w:val="99"/>
    <w:pPr>
      <w:spacing w:before="100" w:beforeAutospacing="1" w:after="100" w:afterAutospacing="1"/>
      <w:jc w:val="left"/>
    </w:pPr>
    <w:rPr>
      <w:rFonts w:hint="default"/>
      <w:kern w:val="0"/>
      <w:sz w:val="24"/>
      <w:szCs w:val="24"/>
      <w:lang w:val="en-US" w:eastAsia="zh-CN" w:bidi="ar"/>
    </w:rPr>
  </w:style>
  <w:style w:type="paragraph" w:styleId="5">
    <w:name w:val="Body Text First Indent"/>
    <w:basedOn w:val="2"/>
    <w:unhideWhenUsed/>
    <w:qFormat/>
    <w:uiPriority w:val="0"/>
    <w:pPr>
      <w:ind w:firstLine="420" w:firstLineChars="100"/>
    </w:pPr>
    <w:rPr>
      <w:rFonts w:hint="eastAsia"/>
      <w:sz w:val="32"/>
      <w:szCs w:val="32"/>
    </w:rPr>
  </w:style>
  <w:style w:type="paragraph" w:styleId="6">
    <w:name w:val="Body Text First Indent 2"/>
    <w:basedOn w:val="3"/>
    <w:next w:val="5"/>
    <w:unhideWhenUsed/>
    <w:qFormat/>
    <w:uiPriority w:val="0"/>
    <w:pPr>
      <w:ind w:firstLine="420" w:firstLineChars="200"/>
    </w:pPr>
    <w:rPr>
      <w:rFonts w:hint="eastAsia"/>
      <w:sz w:val="21"/>
      <w:szCs w:val="24"/>
    </w:rPr>
  </w:style>
  <w:style w:type="paragraph" w:customStyle="1" w:styleId="9">
    <w:name w:val="_Style 1"/>
    <w:basedOn w:val="1"/>
    <w:unhideWhenUsed/>
    <w:qFormat/>
    <w:uiPriority w:val="0"/>
    <w:pPr>
      <w:spacing w:line="481" w:lineRule="atLeast"/>
      <w:ind w:firstLine="623"/>
      <w:textAlignment w:val="baseline"/>
    </w:pPr>
    <w:rPr>
      <w:rFonts w:hint="eastAsia"/>
      <w:color w:val="000000"/>
      <w:sz w:val="31"/>
      <w:szCs w:val="24"/>
      <w:u w:val="none" w:color="000000"/>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1106</Words>
  <Characters>1124</Characters>
  <Lines>0</Lines>
  <Paragraphs>0</Paragraphs>
  <TotalTime>2</TotalTime>
  <ScaleCrop>false</ScaleCrop>
  <LinksUpToDate>false</LinksUpToDate>
  <CharactersWithSpaces>1125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2025-01-20T07:33:00Z</dcterms:created>
  <dc:creator>夜空</dc:creator>
  <cp:lastModifiedBy>cby</cp:lastModifiedBy>
  <cp:lastPrinted>2025-01-21T02:55:00Z</cp:lastPrinted>
  <dcterms:modified xsi:type="dcterms:W3CDTF">2025-03-18T08:08:29Z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4927D1CBECD14AF1B46C1A26FA8787B9_11</vt:lpwstr>
  </property>
  <property fmtid="{D5CDD505-2E9C-101B-9397-08002B2CF9AE}" pid="4" name="KSOTemplateDocerSaveRecord">
    <vt:lpwstr>eyJoZGlkIjoiZGZjODc1MWEzNzgxOWE4MDU4MzZjNDY4NzcxNjZkY2YiLCJ1c2VySWQiOiI5NzcwMTUzMjQifQ==</vt:lpwstr>
  </property>
</Properties>
</file>