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湖滨区磁钟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2023年法治政府建设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情况的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2023年以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磁钟乡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坚持以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习近平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新时代中国特色社会主义思想为指导，深入学习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贯彻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党的二十大精神和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全面依法治国新理念新思想新战略，坚定不移贯彻落实全面依法治国基本方略，统筹推进依法治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、依法执政和依法行政，有力促进了全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乡社会稳定和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经济发展。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一、健全工作机构，切实加强组织领导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乡党委、政府高度重视法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治政府建设示范创建工作，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成立了由党委书记任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组长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乡长任常务组长，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党政领导班子成员任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副组长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，相关科室负责人为成员的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法治政府建设示范创建活动工作领导小组，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形成在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党委、政府有力领导下，各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联动，广大群众积极参与的工作格局，为全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加快推进法治政府建设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和示范创建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工作提供了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强有力的组织保障。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夯实责任，以更实举措增强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法治建设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制定下发《磁钟乡法治政府建设示范创建活动工作方案》，将各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级指标融合汇总为106项具体指标和2项加分项、2项否决项，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每项指标的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，以清单化形式强化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全乡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各部门“一盘棋”意识。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召开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法治政府建设示范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创建工作推进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明确到了责任部门和人员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，压实责任，确保指标任务项项有人管，逐项有落实。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三、落实培训制度，提高行政执法能力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认真落实领导干部学法制度，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将学法纳入中心组学习计划，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形成领导干部带头学法、守法、用法的良好风气。坚持学法与用法相结合，坚持法治教育与法治实践相结合，不断提高我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领导干部的法治意识，为深入推进依法行政、法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化管理水平，办好新时代人民满意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营造良好法治环境。邀请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乡、村两级法律顾问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法治讲座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执法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技能培训、法律知识考试，确保干部普法教育形成制度化、常态化。积极推进机构改革，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按照《河南省乡（街道）综合行政执法规范化实用手册队伍建设规范》的要求开展工作，明确了综合行政执法大队大队长、副大队长和队员岗位职责；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完善综合行政执法配合联动机制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，设立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综合行政执法事项清单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规范综合行政执法行为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、执法流程、执法制度。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加大对辖区内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治理、违法占地、安全生产等领域的执法力度，大大提高了对违法行为的威慑力度。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四、聚焦阵地建设，打造现代服务体系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推行新型“一站式”法律服务，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“一站式”矛盾纠纷调处化解服务日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联合多个部门，实现群众诉求调处“一站解决”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了解村内矛盾纠纷情况，普及相关法律知识，引导居民树立正确的法治观念，增强自我保护意识。推行“一村一法律顾问”工作，建成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磁钟乡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公共法律服务站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8个行政村公共法律服务室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，为群众提供公证咨询、法律援助联络、仲裁业务咨询、行政复议咨询、行政执法意见收集、立法民意采集，提供更便捷高效的法律服务。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完善立体化社会治安防控体系，成立“东方红社区警务团队”和“上四村社区警务团队”有效防范化解管控影响社会安定的问题，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深化“三零”创建活动，通过昼夜巡查，对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辖区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重点场所进行排查，并对重点人员进行服务管理，实时掌握动态，最大限度消除各类安全隐患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，提高公共突发事件防范处置能力。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五、加强法治宣传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营造浓厚法治氛围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认真贯彻落实“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五”普法规划，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制定“谁执法谁普法”普法责任清单并形成日常宣传机制；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细化普法内容、措施标准和责任。全面推行“谁执法谁普法”责任单位年度履职报告评议制度落实领导干部学法制度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。深层次开展“法律明白人”培育工作，召开“法律明白人暨人民调解员”培训会，强化人民调解员队伍建设，充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分利用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开学季、传统节日、法律宣传日等时间节点，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深入开展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instrText xml:space="preserve"> HYPERLINK "https://www.baiyiya777.com/t/jiaoyu/" \t "https://www.baiyiya777.com/zhuantifanwen/sixianghuibao/_blank"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先后开展了“开学第一课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送法进校园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”，每月一主题法治宣传活动，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“一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站式”矛盾纠纷调处化解服务日等多样化法治宣传活动。打造寺庄村“法治文化长廊”，深入浅出地宣传与群众生活息息相关的法律法规，激发群众的学法、用法热情，提高群众法律意识，增强依法维权能力。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六、工作中的存在问题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2023年，磁钟乡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在法治政府建设上虽然取得了一定的成绩，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但是对标法治政府建设要求和人民群众期待还存在着一定的不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足，主要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表现在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行政办事效率还有待进一步提升，法治工作机构队伍有待进一步完善；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行政执法能力还有待进一步提高，在落实行政执法“三项制度”和行政执法责任制尚不到位；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法治宣传教育工作有待进一步强化，对于普法依法治理和法治社会建设工作重视程度不够，工作缺乏长效机制，个别人员普法责任意识还有待加强。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七、2024年工作打算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组织领导，推进政府行政法治化。健全法治建设工作机制，持续探索法治建设助力解决经济服务、民生发展中痛点难点问题，深化协同治理实践，推进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法治政府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建设。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坚守为民初心，搭起化解矛盾连心桥。聚焦信访积案化解攻坚，综合推进访源治理，定期开展矛盾纠纷排查调处工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作，加大矛盾纠纷预防、排查、调处工作。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坚持靶向施策，营造普法强基好氛围。全方位推进“八五”普法，深入抓好领导干部学法用法，让群众知法、学法、懂法、用法，营造良好法治氛围。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120" w:right="1519" w:bottom="2007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zIwYWY4YmVkMzk1ZjJlNzA1ZTA0OGY4MWJhMDAifQ=="/>
  </w:docVars>
  <w:rsids>
    <w:rsidRoot w:val="00000000"/>
    <w:rsid w:val="076B0061"/>
    <w:rsid w:val="0FEE55BE"/>
    <w:rsid w:val="15DD032B"/>
    <w:rsid w:val="28557849"/>
    <w:rsid w:val="2F7A696B"/>
    <w:rsid w:val="364A5D34"/>
    <w:rsid w:val="386C4013"/>
    <w:rsid w:val="3EEF5FD4"/>
    <w:rsid w:val="41A10AD8"/>
    <w:rsid w:val="453813A7"/>
    <w:rsid w:val="5150323D"/>
    <w:rsid w:val="6F0B557E"/>
    <w:rsid w:val="723B2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克克</cp:lastModifiedBy>
  <dcterms:modified xsi:type="dcterms:W3CDTF">2024-03-04T06:50:03Z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C1A1E780FD374D26A7070C75F09BA7CD_13</vt:lpwstr>
  </property>
</Properties>
</file>