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jc w:val="center"/>
        <w:textAlignment w:val="baseline"/>
        <w:rPr>
          <w:rStyle w:val="11"/>
          <w:rFonts w:ascii="黑体" w:hAnsi="黑体" w:eastAsia="黑体"/>
          <w:color w:val="000000"/>
          <w:kern w:val="2"/>
          <w:sz w:val="52"/>
          <w:szCs w:val="52"/>
          <w:lang w:val="en-US" w:eastAsia="zh-CN" w:bidi="ar-SA"/>
        </w:rPr>
      </w:pPr>
      <w:r>
        <w:rPr>
          <w:rStyle w:val="11"/>
          <w:rFonts w:ascii="黑体" w:hAnsi="黑体" w:eastAsia="黑体"/>
          <w:color w:val="000000"/>
          <w:kern w:val="2"/>
          <w:sz w:val="52"/>
          <w:szCs w:val="52"/>
          <w:lang w:val="en-US" w:eastAsia="zh-CN" w:bidi="ar-SA"/>
        </w:rPr>
        <w:t>2019年度</w:t>
      </w:r>
      <w:bookmarkStart w:id="0" w:name="_GoBack"/>
      <w:bookmarkEnd w:id="0"/>
      <w:r>
        <w:rPr>
          <w:rStyle w:val="11"/>
          <w:rFonts w:ascii="黑体" w:hAnsi="黑体" w:eastAsia="黑体"/>
          <w:color w:val="000000"/>
          <w:kern w:val="2"/>
          <w:sz w:val="52"/>
          <w:szCs w:val="52"/>
          <w:lang w:val="en-US" w:eastAsia="zh-CN" w:bidi="ar-SA"/>
        </w:rPr>
        <w:t>湖滨区农业农村局部门决算</w:t>
      </w:r>
    </w:p>
    <w:p>
      <w:pPr>
        <w:jc w:val="center"/>
        <w:textAlignment w:val="baseline"/>
        <w:rPr>
          <w:rStyle w:val="11"/>
          <w:rFonts w:ascii="黑体" w:hAnsi="黑体" w:eastAsia="黑体"/>
          <w:color w:val="000000"/>
          <w:kern w:val="2"/>
          <w:sz w:val="52"/>
          <w:szCs w:val="52"/>
          <w:lang w:val="en-US" w:eastAsia="zh-CN" w:bidi="ar-SA"/>
        </w:rPr>
      </w:pPr>
    </w:p>
    <w:p>
      <w:pPr>
        <w:jc w:val="center"/>
        <w:textAlignment w:val="baseline"/>
        <w:rPr>
          <w:rStyle w:val="11"/>
          <w:rFonts w:ascii="黑体" w:hAnsi="黑体" w:eastAsia="黑体"/>
          <w:color w:val="000000"/>
          <w:kern w:val="2"/>
          <w:sz w:val="52"/>
          <w:szCs w:val="52"/>
          <w:lang w:val="en-US" w:eastAsia="zh-CN" w:bidi="ar-SA"/>
        </w:rPr>
      </w:pPr>
    </w:p>
    <w:p>
      <w:pPr>
        <w:jc w:val="center"/>
        <w:textAlignment w:val="baseline"/>
        <w:rPr>
          <w:rStyle w:val="11"/>
          <w:rFonts w:ascii="黑体" w:hAnsi="黑体" w:eastAsia="黑体"/>
          <w:color w:val="000000"/>
          <w:kern w:val="2"/>
          <w:sz w:val="52"/>
          <w:szCs w:val="52"/>
          <w:lang w:val="en-US" w:eastAsia="zh-CN" w:bidi="ar-SA"/>
        </w:rPr>
      </w:pPr>
    </w:p>
    <w:p>
      <w:pPr>
        <w:jc w:val="center"/>
        <w:textAlignment w:val="baseline"/>
        <w:rPr>
          <w:rStyle w:val="11"/>
          <w:rFonts w:ascii="黑体" w:hAnsi="黑体" w:eastAsia="黑体"/>
          <w:color w:val="000000"/>
          <w:kern w:val="2"/>
          <w:sz w:val="52"/>
          <w:szCs w:val="52"/>
          <w:lang w:val="en-US" w:eastAsia="zh-CN" w:bidi="ar-SA"/>
        </w:rPr>
      </w:pPr>
    </w:p>
    <w:p>
      <w:pPr>
        <w:jc w:val="center"/>
        <w:textAlignment w:val="baseline"/>
        <w:rPr>
          <w:rStyle w:val="11"/>
          <w:rFonts w:ascii="黑体" w:hAnsi="黑体" w:eastAsia="黑体"/>
          <w:color w:val="000000"/>
          <w:kern w:val="2"/>
          <w:sz w:val="52"/>
          <w:szCs w:val="52"/>
          <w:lang w:val="en-US" w:eastAsia="zh-CN" w:bidi="ar-SA"/>
        </w:rPr>
      </w:pPr>
    </w:p>
    <w:p>
      <w:pPr>
        <w:jc w:val="center"/>
        <w:textAlignment w:val="baseline"/>
        <w:rPr>
          <w:rStyle w:val="11"/>
          <w:rFonts w:ascii="黑体" w:hAnsi="黑体" w:eastAsia="黑体"/>
          <w:color w:val="000000"/>
          <w:kern w:val="2"/>
          <w:sz w:val="52"/>
          <w:szCs w:val="52"/>
          <w:lang w:val="en-US" w:eastAsia="zh-CN" w:bidi="ar-SA"/>
        </w:rPr>
      </w:pPr>
    </w:p>
    <w:p>
      <w:pPr>
        <w:jc w:val="center"/>
        <w:textAlignment w:val="baseline"/>
        <w:sectPr>
          <w:pgSz w:w="11906" w:h="16838"/>
          <w:pgMar w:top="1440" w:right="1531" w:bottom="1440" w:left="1587" w:header="850" w:footer="992" w:gutter="0"/>
          <w:lnNumType w:countBy="0"/>
          <w:cols w:space="720" w:num="1"/>
          <w:docGrid w:type="lines" w:linePitch="317"/>
        </w:sectPr>
      </w:pPr>
      <w:r>
        <w:rPr>
          <w:rStyle w:val="11"/>
          <w:rFonts w:ascii="黑体" w:hAnsi="黑体" w:eastAsia="黑体"/>
          <w:color w:val="000000"/>
          <w:kern w:val="2"/>
          <w:sz w:val="32"/>
          <w:szCs w:val="32"/>
          <w:lang w:val="en-US" w:eastAsia="zh-CN" w:bidi="ar-SA"/>
        </w:rPr>
        <w:t>二〇二〇年九月</w:t>
      </w:r>
    </w:p>
    <w:p>
      <w:pPr>
        <w:jc w:val="center"/>
        <w:textAlignment w:val="baseline"/>
        <w:rPr>
          <w:rStyle w:val="11"/>
          <w:rFonts w:ascii="黑体" w:hAnsi="黑体" w:eastAsia="黑体"/>
          <w:color w:val="000000"/>
          <w:kern w:val="2"/>
          <w:sz w:val="36"/>
          <w:szCs w:val="36"/>
          <w:lang w:val="en-US" w:eastAsia="zh-CN" w:bidi="ar-SA"/>
        </w:rPr>
      </w:pPr>
      <w:r>
        <w:rPr>
          <w:rStyle w:val="11"/>
          <w:rFonts w:ascii="黑体" w:hAnsi="黑体" w:eastAsia="黑体"/>
          <w:color w:val="000000"/>
          <w:kern w:val="2"/>
          <w:sz w:val="36"/>
          <w:szCs w:val="36"/>
          <w:lang w:val="en-US" w:eastAsia="zh-CN" w:bidi="ar-SA"/>
        </w:rPr>
        <w:t>目　　录</w:t>
      </w:r>
    </w:p>
    <w:p>
      <w:pPr>
        <w:jc w:val="left"/>
        <w:textAlignment w:val="baseline"/>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第一部分 湖滨区农业农村局概况</w:t>
      </w:r>
    </w:p>
    <w:p>
      <w:pPr>
        <w:numPr>
          <w:ilvl w:val="0"/>
          <w:numId w:val="1"/>
        </w:num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部门职责</w:t>
      </w:r>
    </w:p>
    <w:p>
      <w:pPr>
        <w:numPr>
          <w:ilvl w:val="0"/>
          <w:numId w:val="1"/>
        </w:num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机构设置</w:t>
      </w:r>
    </w:p>
    <w:p>
      <w:pPr>
        <w:jc w:val="left"/>
        <w:textAlignment w:val="baseline"/>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第二部分　　2019年度部门决算表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一、收入支出决算总表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二、收入决算表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三、支出决算表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四、财政拨款收入支出决算总表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五、一般公共预算财政拨款支出决算表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六、一般公共预算财政拨款基本支出决算表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七、一般公共预算财政拨款“三公”经费支出决算表</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八、政府性基金预算财政拨款收入支出决算表</w:t>
      </w:r>
    </w:p>
    <w:p>
      <w:pPr>
        <w:jc w:val="left"/>
        <w:textAlignment w:val="baseline"/>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第三部分　　2019年度部门决算情况说明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一、收入支出决算总体情况说明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二、收入决算情况说明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三、支出决算情况说明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四、财政拨款收入支出决算总体情况说明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五、一般公共预算财政拨款支出决算情况说明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六、一般公共预算财政拨款基本支出决算情况说明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七、一般公共预算财政拨款“三公”经费支出决算情况说明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八、预算绩效情况说明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九、政府性基金预算财政拨款支出决算情况说明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十、机关运行经费支出情况说明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十一、政府采购支出情况说明</w:t>
      </w:r>
    </w:p>
    <w:p>
      <w:pPr>
        <w:ind w:firstLine="640" w:firstLineChars="200"/>
        <w:jc w:val="left"/>
        <w:textAlignment w:val="baseline"/>
        <w:rPr>
          <w:rStyle w:val="11"/>
          <w:rFonts w:ascii="宋体" w:hAnsi="宋体" w:eastAsia="宋体"/>
          <w:color w:val="000000"/>
          <w:kern w:val="2"/>
          <w:sz w:val="32"/>
          <w:szCs w:val="32"/>
          <w:lang w:val="en-US" w:eastAsia="zh-CN" w:bidi="ar-SA"/>
        </w:rPr>
      </w:pPr>
      <w:r>
        <w:rPr>
          <w:rStyle w:val="11"/>
          <w:rFonts w:ascii="宋体" w:hAnsi="宋体" w:eastAsia="宋体"/>
          <w:color w:val="000000"/>
          <w:kern w:val="2"/>
          <w:sz w:val="32"/>
          <w:szCs w:val="32"/>
          <w:lang w:val="en-US" w:eastAsia="zh-CN" w:bidi="ar-SA"/>
        </w:rPr>
        <w:t>十二、国有资产占用情况说明</w:t>
      </w:r>
    </w:p>
    <w:p>
      <w:pPr>
        <w:jc w:val="left"/>
        <w:textAlignment w:val="baseline"/>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第四部分　　名词解释</w:t>
      </w:r>
    </w:p>
    <w:p>
      <w:pPr>
        <w:ind w:firstLine="640" w:firstLineChars="200"/>
        <w:jc w:val="left"/>
        <w:textAlignment w:val="baseline"/>
        <w:rPr>
          <w:rStyle w:val="11"/>
          <w:rFonts w:ascii="宋体" w:hAnsi="宋体" w:eastAsia="宋体"/>
          <w:color w:val="000000"/>
          <w:kern w:val="2"/>
          <w:sz w:val="32"/>
          <w:szCs w:val="32"/>
          <w:lang w:val="en-US" w:eastAsia="zh-CN" w:bidi="ar-SA"/>
        </w:rPr>
      </w:pPr>
    </w:p>
    <w:p>
      <w:pPr>
        <w:jc w:val="left"/>
        <w:textAlignment w:val="baseline"/>
        <w:sectPr>
          <w:footerReference r:id="rId4" w:type="default"/>
          <w:footerReference r:id="rId5" w:type="even"/>
          <w:pgSz w:w="11906" w:h="16838"/>
          <w:pgMar w:top="1440" w:right="1531" w:bottom="1440" w:left="1587" w:header="850" w:footer="992" w:gutter="0"/>
          <w:lnNumType w:countBy="0"/>
          <w:pgNumType w:start="1"/>
          <w:cols w:space="720" w:num="1"/>
          <w:docGrid w:type="lines" w:linePitch="317"/>
        </w:sect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center"/>
        <w:textAlignment w:val="baseline"/>
        <w:rPr>
          <w:rStyle w:val="11"/>
          <w:rFonts w:ascii="黑体" w:hAnsi="宋体" w:eastAsia="黑体"/>
          <w:color w:val="000000"/>
          <w:kern w:val="0"/>
          <w:sz w:val="28"/>
          <w:szCs w:val="28"/>
          <w:lang w:val="en-US" w:eastAsia="zh-CN" w:bidi="ar-SA"/>
        </w:rPr>
      </w:pPr>
      <w:r>
        <w:rPr>
          <w:rStyle w:val="11"/>
          <w:rFonts w:ascii="黑体" w:hAnsi="黑体" w:eastAsia="黑体"/>
          <w:color w:val="000000"/>
          <w:kern w:val="2"/>
          <w:sz w:val="48"/>
          <w:szCs w:val="48"/>
          <w:lang w:val="en-US" w:eastAsia="zh-CN" w:bidi="ar-SA"/>
        </w:rPr>
        <w:t>第一部分  湖滨区农业农村局概况</w:t>
      </w: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sectPr>
          <w:pgSz w:w="11906" w:h="16838"/>
          <w:pgMar w:top="1440" w:right="1800" w:bottom="1440" w:left="1800" w:header="720" w:footer="720" w:gutter="0"/>
          <w:lnNumType w:countBy="0"/>
          <w:cols w:space="720" w:num="1"/>
          <w:docGrid w:type="lines" w:linePitch="312"/>
        </w:sectPr>
      </w:pPr>
    </w:p>
    <w:p>
      <w:pPr>
        <w:widowControl/>
        <w:ind w:firstLine="640" w:firstLineChars="200"/>
        <w:jc w:val="left"/>
        <w:textAlignment w:val="baseline"/>
        <w:rPr>
          <w:rStyle w:val="11"/>
          <w:rFonts w:ascii="黑体" w:hAnsi="黑体" w:eastAsia="黑体"/>
          <w:color w:val="000000"/>
          <w:kern w:val="0"/>
          <w:sz w:val="32"/>
          <w:szCs w:val="32"/>
          <w:lang w:val="en-US" w:eastAsia="zh-CN" w:bidi="ar-SA"/>
        </w:rPr>
      </w:pPr>
      <w:r>
        <w:rPr>
          <w:rStyle w:val="11"/>
          <w:rFonts w:ascii="黑体" w:hAnsi="黑体" w:eastAsia="黑体"/>
          <w:color w:val="000000"/>
          <w:kern w:val="0"/>
          <w:sz w:val="32"/>
          <w:szCs w:val="32"/>
          <w:lang w:val="en-US" w:eastAsia="zh-CN" w:bidi="ar-SA"/>
        </w:rPr>
        <w:t>一、部门</w:t>
      </w:r>
      <w:r>
        <w:rPr>
          <w:rStyle w:val="11"/>
          <w:rFonts w:ascii="黑体" w:hAnsi="黑体" w:eastAsia="黑体" w:cs="黑体"/>
          <w:bCs/>
          <w:kern w:val="2"/>
          <w:sz w:val="32"/>
          <w:szCs w:val="32"/>
          <w:lang w:val="en-US" w:eastAsia="zh-CN" w:bidi="ar-SA"/>
        </w:rPr>
        <w:t>职责</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1、贯彻执行与农、牧、水产业等有关农业和农村经济发展的法律、法规、方针、政策。</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2、拟订全区农、牧、水产业的发展战略、中长期发展规划和年度计划。</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3、承担完善农村经营管理体制的责任。</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4、指导主要农畜产品生产，引导农业产业结构调整和产品品质质量的改善；指导农业产业化经营，促进农业产前、产中、产后一体化发展；培育、保护和发展农畜产品品牌。</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5、拟订全区农、牧、水产业科学发展规划和相关政策并组织实施；建立健全农牧业科技推广网络，负责农牧业科技队伍建设，组织实施对乡、村两级干部、农牧业科技人员、科技示范户的培训教育工作。负责农业、畜牧水产常规技术的宣传、培训和推广，负责新型职业农民培训。</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6、负责涉及农、牧、水产业各类项目的申报、监督，研究提出农业生产资料市场体系建设与发展规划，促进农业产业化发展。</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7、负责农畜（水)产品质量的安全监测；对农畜（水)产品安全标准的认证进行监督管理；加强农畜（水)产品检验检测体系建设；负责农畜（水)产品质量安全的监督管理。</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8、拟订全区农作物、畜禽品种、水产品的繁育和改良规划，指导生产、繁育和推广良种工作。负责农业新品种的保护。</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9、拟订全区农业资源、渔业资源保护和建设，开发和利用。</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10、负责全区种子监督管理、兽药饲料监督管理、动植物检疫、畜禽防疫、重大动物疫病监测、农药兽药市场管理、绿色食品管理、农业环境检测、肥料登记管理、饲料市场管理。</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11、负责农业、畜牧、水产涉外事物，组织对外交流与合作。</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12、指导农村可再生资源综合开发和利用；指导农业生物产业发展和农业农村节能减排；指导农牧业方面污染源治理的有关工作；指导生态农业、循环农业等的发展。</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13、负责农作物重大病虫害防治、重大动物疫病防治、动植物防疫体系建设；组织、监督区内动植物防疫工作。</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14、承担农牧业防灾减灾的责任。</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15、监测分析农牧业和农村经济运行情况；负责农牧业体系建设，指导农牧业信息服务；预测并发布农畜产品、农牧业生产资料的供求情况等农村经济信息，指导并组织调运各类农牧业生产资料，满足农民群众的需要，开展相关农牧业生产的统计工作。</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16、组织农业资源区划工作；指导农业用地、渔业水域、宜农滩涂、宜农湿地以及农业生物物种资源的保护和管理；负责耕地质量管理工作；运用工程设施、农艺、生物等措施发展节水农业；汇通有关部门处理渔事纠纷，行使渔船监测和渔政监督管理权。</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17、实施农业生态建设规划，引导农村可再生资源综合开发和利用，指导农业生物产业发展和农业农村节能减排，指导农业污染源治理有关工作。负责保护渔业水域生态环境。</w:t>
      </w:r>
    </w:p>
    <w:p>
      <w:pPr>
        <w:widowControl/>
        <w:ind w:firstLine="600" w:firstLineChars="200"/>
        <w:jc w:val="left"/>
        <w:textAlignment w:val="baseline"/>
        <w:rPr>
          <w:rStyle w:val="11"/>
          <w:rFonts w:ascii="仿宋_GB2312" w:hAnsi="仿宋_GB2312" w:eastAsia="仿宋_GB2312"/>
          <w:color w:val="000000"/>
          <w:kern w:val="0"/>
          <w:sz w:val="32"/>
          <w:szCs w:val="32"/>
          <w:lang w:val="en-US" w:eastAsia="zh-CN" w:bidi="ar-SA"/>
        </w:rPr>
      </w:pPr>
      <w:r>
        <w:rPr>
          <w:rStyle w:val="11"/>
          <w:kern w:val="2"/>
          <w:sz w:val="30"/>
          <w:szCs w:val="30"/>
          <w:lang w:val="en-US" w:eastAsia="zh-CN" w:bidi="ar-SA"/>
        </w:rPr>
        <w:t>18、承办区委、区政府交办的其他事项。</w:t>
      </w:r>
    </w:p>
    <w:p>
      <w:pPr>
        <w:widowControl/>
        <w:ind w:firstLine="640" w:firstLineChars="200"/>
        <w:jc w:val="left"/>
        <w:textAlignment w:val="baseline"/>
        <w:rPr>
          <w:rStyle w:val="11"/>
          <w:rFonts w:ascii="黑体" w:hAnsi="黑体" w:eastAsia="黑体"/>
          <w:color w:val="000000"/>
          <w:kern w:val="0"/>
          <w:sz w:val="32"/>
          <w:szCs w:val="32"/>
          <w:lang w:val="en-US" w:eastAsia="zh-CN" w:bidi="ar-SA"/>
        </w:rPr>
      </w:pPr>
      <w:r>
        <w:rPr>
          <w:rStyle w:val="11"/>
          <w:rFonts w:ascii="黑体" w:hAnsi="黑体" w:eastAsia="黑体"/>
          <w:color w:val="000000"/>
          <w:kern w:val="0"/>
          <w:sz w:val="32"/>
          <w:szCs w:val="32"/>
          <w:lang w:val="en-US" w:eastAsia="zh-CN" w:bidi="ar-SA"/>
        </w:rPr>
        <w:t>二、机构设置</w:t>
      </w:r>
    </w:p>
    <w:p>
      <w:pPr>
        <w:ind w:firstLine="600" w:firstLineChars="200"/>
        <w:jc w:val="left"/>
        <w:textAlignment w:val="baseline"/>
        <w:rPr>
          <w:rStyle w:val="11"/>
          <w:kern w:val="2"/>
          <w:sz w:val="30"/>
          <w:szCs w:val="30"/>
          <w:lang w:val="en-US" w:eastAsia="zh-CN" w:bidi="ar-SA"/>
        </w:rPr>
      </w:pPr>
      <w:r>
        <w:rPr>
          <w:rStyle w:val="11"/>
          <w:kern w:val="2"/>
          <w:sz w:val="30"/>
          <w:szCs w:val="30"/>
          <w:lang w:val="en-US" w:eastAsia="zh-CN" w:bidi="ar-SA"/>
        </w:rPr>
        <w:t>湖滨区农业农村局是纳入政府部门预算编制的单位，包括局机关和下属7个事业单位：农业技术推广站（农经站）、植保植检站（种子管理站）、农村能源环境保护站、信息中心、质检站、动物卫生监督所（畜产品质量安全和畜牧技术推广中心）、动物疾病预防控制中心。</w:t>
      </w:r>
    </w:p>
    <w:p>
      <w:pPr>
        <w:widowControl/>
        <w:ind w:firstLine="600" w:firstLineChars="200"/>
        <w:jc w:val="left"/>
        <w:textAlignment w:val="baseline"/>
        <w:sectPr>
          <w:pgSz w:w="11906" w:h="16838"/>
          <w:pgMar w:top="1440" w:right="1800" w:bottom="1440" w:left="1800" w:header="720" w:footer="720" w:gutter="0"/>
          <w:lnNumType w:countBy="0"/>
          <w:cols w:space="720" w:num="1"/>
          <w:docGrid w:type="lines" w:linePitch="312"/>
        </w:sectPr>
      </w:pPr>
      <w:r>
        <w:rPr>
          <w:rStyle w:val="11"/>
          <w:kern w:val="2"/>
          <w:sz w:val="30"/>
          <w:szCs w:val="30"/>
          <w:lang w:val="en-US" w:eastAsia="zh-CN" w:bidi="ar-SA"/>
        </w:rPr>
        <w:t>湖滨区农业农村局包括本级决算和所属单位决算在内的汇总决算。</w:t>
      </w: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jc w:val="center"/>
        <w:textAlignment w:val="baseline"/>
        <w:rPr>
          <w:rStyle w:val="11"/>
          <w:rFonts w:ascii="黑体" w:hAnsi="黑体" w:eastAsia="黑体"/>
          <w:color w:val="000000"/>
          <w:kern w:val="2"/>
          <w:sz w:val="48"/>
          <w:szCs w:val="48"/>
          <w:lang w:val="en-US" w:eastAsia="zh-CN" w:bidi="ar-SA"/>
        </w:rPr>
      </w:pPr>
      <w:r>
        <w:rPr>
          <w:rStyle w:val="11"/>
          <w:rFonts w:ascii="黑体" w:hAnsi="黑体" w:eastAsia="黑体"/>
          <w:color w:val="000000"/>
          <w:kern w:val="2"/>
          <w:sz w:val="48"/>
          <w:szCs w:val="48"/>
          <w:lang w:val="en-US" w:eastAsia="zh-CN" w:bidi="ar-SA"/>
        </w:rPr>
        <w:t>第二部分  2019年度部门决算表</w:t>
      </w: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sectPr>
          <w:pgSz w:w="11906" w:h="16838"/>
          <w:pgMar w:top="1440" w:right="1800" w:bottom="1440" w:left="1800" w:header="720" w:footer="720" w:gutter="0"/>
          <w:lnNumType w:countBy="0"/>
          <w:cols w:space="720" w:num="1"/>
          <w:docGrid w:type="lines" w:linePitch="312"/>
        </w:sectPr>
      </w:pPr>
    </w:p>
    <w:tbl>
      <w:tblPr>
        <w:tblW w:w="139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279"/>
        <w:gridCol w:w="825"/>
        <w:gridCol w:w="1764"/>
        <w:gridCol w:w="4671"/>
        <w:gridCol w:w="750"/>
        <w:gridCol w:w="1699"/>
      </w:tblGrid>
      <w:tr>
        <w:trPr>
          <w:trHeight w:val="360" w:hRule="atLeast"/>
        </w:trPr>
        <w:tc>
          <w:tcPr>
            <w:tcW w:w="13988" w:type="dxa"/>
            <w:gridSpan w:val="6"/>
            <w:tcBorders>
              <w:top w:val="nil"/>
              <w:left w:val="nil"/>
              <w:bottom w:val="nil"/>
              <w:right w:val="nil"/>
            </w:tcBorders>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收入支出决算总表</w:t>
            </w:r>
          </w:p>
        </w:tc>
      </w:tr>
      <w:tr>
        <w:trPr>
          <w:trHeight w:val="199" w:hRule="atLeast"/>
        </w:trPr>
        <w:tc>
          <w:tcPr>
            <w:tcW w:w="4279"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825"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76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75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99"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公开01表</w:t>
            </w:r>
          </w:p>
        </w:tc>
      </w:tr>
      <w:tr>
        <w:trPr>
          <w:trHeight w:val="300" w:hRule="atLeast"/>
        </w:trPr>
        <w:tc>
          <w:tcPr>
            <w:tcW w:w="4279"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825"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76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75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99"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439" w:hRule="atLeast"/>
        </w:trPr>
        <w:tc>
          <w:tcPr>
            <w:tcW w:w="6868" w:type="dxa"/>
            <w:gridSpan w:val="3"/>
            <w:tcBorders>
              <w:top w:val="single" w:color="000000" w:sz="8"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收入</w:t>
            </w:r>
          </w:p>
        </w:tc>
        <w:tc>
          <w:tcPr>
            <w:tcW w:w="7120" w:type="dxa"/>
            <w:gridSpan w:val="3"/>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支出</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行次</w:t>
            </w:r>
          </w:p>
        </w:tc>
        <w:tc>
          <w:tcPr>
            <w:tcW w:w="17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决算数</w:t>
            </w: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行次</w:t>
            </w:r>
          </w:p>
        </w:tc>
        <w:tc>
          <w:tcPr>
            <w:tcW w:w="1699" w:type="dxa"/>
            <w:tcBorders>
              <w:top w:val="single" w:color="000000" w:sz="4"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决算数</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    次</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7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    次</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99" w:type="dxa"/>
            <w:tcBorders>
              <w:top w:val="single" w:color="000000" w:sz="4"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一、财政拨款收入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2626.81</w:t>
            </w: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一、一般公共服务支出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14</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二、上级补助收入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二、外交支出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15</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三、事业收入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八、社会保障和就业支出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16</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四、经营收入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九、卫生健康支出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17</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五、附属单位上缴收入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5</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十、节能环保支出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18</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六、其他收入</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6</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十一、城乡社区支出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19</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7</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十二、农林水支出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20</w:t>
            </w:r>
          </w:p>
        </w:tc>
        <w:tc>
          <w:tcPr>
            <w:tcW w:w="169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1475.75</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8</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十九、住房保障支出</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21</w:t>
            </w:r>
          </w:p>
        </w:tc>
        <w:tc>
          <w:tcPr>
            <w:tcW w:w="1699" w:type="dxa"/>
            <w:tcBorders>
              <w:top w:val="single" w:color="000000" w:sz="4" w:space="0"/>
              <w:left w:val="nil"/>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本年收入合计</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9</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2626.81</w:t>
            </w:r>
          </w:p>
        </w:tc>
        <w:tc>
          <w:tcPr>
            <w:tcW w:w="4671"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本年支出合计</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22</w:t>
            </w:r>
          </w:p>
        </w:tc>
        <w:tc>
          <w:tcPr>
            <w:tcW w:w="1699" w:type="dxa"/>
            <w:tcBorders>
              <w:top w:val="single" w:color="000000" w:sz="4" w:space="0"/>
              <w:left w:val="nil"/>
              <w:bottom w:val="single" w:color="000000" w:sz="4" w:space="0"/>
              <w:right w:val="single" w:color="000000" w:sz="8" w:space="0"/>
            </w:tcBorders>
            <w:vAlign w:val="center"/>
          </w:tcPr>
          <w:p>
            <w:pPr>
              <w:jc w:val="both"/>
              <w:textAlignment w:val="baseline"/>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2"/>
                <w:sz w:val="20"/>
                <w:szCs w:val="20"/>
                <w:lang w:val="en-US" w:eastAsia="zh-CN" w:bidi="ar-SA"/>
              </w:rPr>
              <w:t>1839.89</w:t>
            </w: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用事业基金弥补收支差额</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结余分配</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23</w:t>
            </w:r>
          </w:p>
        </w:tc>
        <w:tc>
          <w:tcPr>
            <w:tcW w:w="1699" w:type="dxa"/>
            <w:tcBorders>
              <w:top w:val="single" w:color="000000" w:sz="4" w:space="0"/>
              <w:left w:val="nil"/>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39" w:hRule="atLeast"/>
        </w:trPr>
        <w:tc>
          <w:tcPr>
            <w:tcW w:w="4279"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年初结转和结余</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11</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586.74</w:t>
            </w:r>
          </w:p>
        </w:tc>
        <w:tc>
          <w:tcPr>
            <w:tcW w:w="4671"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年末结转和结余</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24</w:t>
            </w:r>
          </w:p>
        </w:tc>
        <w:tc>
          <w:tcPr>
            <w:tcW w:w="1699" w:type="dxa"/>
            <w:tcBorders>
              <w:top w:val="single" w:color="000000" w:sz="4" w:space="0"/>
              <w:left w:val="nil"/>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1373.66</w:t>
            </w:r>
          </w:p>
        </w:tc>
      </w:tr>
      <w:tr>
        <w:trPr>
          <w:trHeight w:val="439" w:hRule="atLeast"/>
        </w:trPr>
        <w:tc>
          <w:tcPr>
            <w:tcW w:w="4279" w:type="dxa"/>
            <w:tcBorders>
              <w:top w:val="single" w:color="000000" w:sz="4" w:space="0"/>
              <w:left w:val="single" w:color="000000" w:sz="8" w:space="0"/>
              <w:bottom w:val="nil"/>
              <w:right w:val="nil"/>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12</w:t>
            </w:r>
          </w:p>
        </w:tc>
        <w:tc>
          <w:tcPr>
            <w:tcW w:w="1764" w:type="dxa"/>
            <w:tcBorders>
              <w:top w:val="single" w:color="000000" w:sz="4" w:space="0"/>
              <w:left w:val="single" w:color="000000" w:sz="4" w:space="0"/>
              <w:bottom w:val="nil"/>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4671" w:type="dxa"/>
            <w:tcBorders>
              <w:top w:val="single" w:color="000000" w:sz="4" w:space="0"/>
              <w:left w:val="single" w:color="000000" w:sz="4" w:space="0"/>
              <w:bottom w:val="nil"/>
              <w:right w:val="nil"/>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25</w:t>
            </w:r>
          </w:p>
        </w:tc>
        <w:tc>
          <w:tcPr>
            <w:tcW w:w="1699" w:type="dxa"/>
            <w:tcBorders>
              <w:top w:val="single" w:color="000000" w:sz="4" w:space="0"/>
              <w:left w:val="nil"/>
              <w:bottom w:val="nil"/>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39" w:hRule="atLeast"/>
        </w:trPr>
        <w:tc>
          <w:tcPr>
            <w:tcW w:w="4279" w:type="dxa"/>
            <w:tcBorders>
              <w:top w:val="single" w:color="000000" w:sz="4" w:space="0"/>
              <w:left w:val="single" w:color="000000" w:sz="8" w:space="0"/>
              <w:bottom w:val="single" w:color="000000" w:sz="8" w:space="0"/>
              <w:right w:val="nil"/>
            </w:tcBorders>
            <w:shd w:val="clear" w:color="auto" w:fill="FFFFFF"/>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总计</w:t>
            </w:r>
          </w:p>
        </w:tc>
        <w:tc>
          <w:tcPr>
            <w:tcW w:w="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13</w:t>
            </w:r>
          </w:p>
        </w:tc>
        <w:tc>
          <w:tcPr>
            <w:tcW w:w="1764"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3213.55</w:t>
            </w:r>
          </w:p>
        </w:tc>
        <w:tc>
          <w:tcPr>
            <w:tcW w:w="4671" w:type="dxa"/>
            <w:tcBorders>
              <w:top w:val="single" w:color="000000" w:sz="4" w:space="0"/>
              <w:left w:val="single" w:color="000000" w:sz="4" w:space="0"/>
              <w:bottom w:val="single" w:color="000000" w:sz="8" w:space="0"/>
              <w:right w:val="nil"/>
            </w:tcBorders>
            <w:shd w:val="clear" w:color="auto" w:fill="FFFFFF"/>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总计</w:t>
            </w:r>
          </w:p>
        </w:tc>
        <w:tc>
          <w:tcPr>
            <w:tcW w:w="7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26</w:t>
            </w:r>
          </w:p>
        </w:tc>
        <w:tc>
          <w:tcPr>
            <w:tcW w:w="1699" w:type="dxa"/>
            <w:tcBorders>
              <w:top w:val="single" w:color="000000" w:sz="4" w:space="0"/>
              <w:left w:val="nil"/>
              <w:bottom w:val="single" w:color="000000" w:sz="8" w:space="0"/>
              <w:right w:val="single" w:color="000000" w:sz="8" w:space="0"/>
            </w:tcBorders>
            <w:vAlign w:val="center"/>
          </w:tcPr>
          <w:p>
            <w:pPr>
              <w:jc w:val="both"/>
              <w:textAlignment w:val="baseline"/>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2"/>
                <w:sz w:val="20"/>
                <w:szCs w:val="20"/>
                <w:lang w:val="en-US" w:eastAsia="zh-CN" w:bidi="ar-SA"/>
              </w:rPr>
              <w:t>3213.55</w:t>
            </w:r>
          </w:p>
        </w:tc>
      </w:tr>
      <w:tr>
        <w:trPr>
          <w:trHeight w:val="585" w:hRule="atLeast"/>
        </w:trPr>
        <w:tc>
          <w:tcPr>
            <w:tcW w:w="13988" w:type="dxa"/>
            <w:gridSpan w:val="6"/>
            <w:tcBorders>
              <w:top w:val="single" w:color="000000" w:sz="8" w:space="0"/>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注：本表反映部门本年度的总收支和年末结转结余情况。本表金额转换为万元时，因四舍五入可能存在尾差。</w:t>
            </w:r>
          </w:p>
        </w:tc>
      </w:tr>
    </w:tbl>
    <w:p>
      <w:pPr>
        <w:jc w:val="both"/>
        <w:textAlignment w:val="baseline"/>
        <w:rPr>
          <w:rStyle w:val="11"/>
          <w:rFonts w:ascii="仿宋_GB2312" w:hAnsi="仿宋_GB2312" w:eastAsia="仿宋_GB2312"/>
          <w:color w:val="000000"/>
          <w:kern w:val="2"/>
          <w:sz w:val="32"/>
          <w:szCs w:val="32"/>
          <w:lang w:val="en-US" w:eastAsia="zh-CN" w:bidi="ar-SA"/>
        </w:rPr>
      </w:pPr>
    </w:p>
    <w:p>
      <w:pPr>
        <w:jc w:val="both"/>
        <w:textAlignment w:val="baseline"/>
        <w:sectPr>
          <w:pgSz w:w="16838" w:h="11906"/>
          <w:pgMar w:top="1800" w:right="1440" w:bottom="1800" w:left="1440" w:header="720" w:footer="720" w:gutter="0"/>
          <w:lnNumType w:countBy="0"/>
          <w:cols w:space="720" w:num="1"/>
          <w:docGrid w:type="lines" w:linePitch="312"/>
        </w:sectPr>
      </w:pPr>
    </w:p>
    <w:tbl>
      <w:tblPr>
        <w:tblW w:w="1384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27"/>
        <w:gridCol w:w="59"/>
        <w:gridCol w:w="1271"/>
        <w:gridCol w:w="1553"/>
        <w:gridCol w:w="88"/>
        <w:gridCol w:w="1465"/>
        <w:gridCol w:w="176"/>
        <w:gridCol w:w="1377"/>
        <w:gridCol w:w="264"/>
        <w:gridCol w:w="1289"/>
        <w:gridCol w:w="352"/>
        <w:gridCol w:w="1201"/>
        <w:gridCol w:w="440"/>
        <w:gridCol w:w="1113"/>
        <w:gridCol w:w="528"/>
        <w:gridCol w:w="1642"/>
      </w:tblGrid>
      <w:tr>
        <w:trPr>
          <w:trHeight w:val="435" w:hRule="atLeast"/>
        </w:trPr>
        <w:tc>
          <w:tcPr>
            <w:tcW w:w="13845" w:type="dxa"/>
            <w:gridSpan w:val="16"/>
            <w:tcBorders>
              <w:top w:val="nil"/>
              <w:left w:val="nil"/>
              <w:bottom w:val="nil"/>
              <w:right w:val="nil"/>
            </w:tcBorders>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收入决算表</w:t>
            </w:r>
          </w:p>
        </w:tc>
      </w:tr>
      <w:tr>
        <w:trPr>
          <w:trHeight w:val="285" w:hRule="atLeast"/>
        </w:trPr>
        <w:tc>
          <w:tcPr>
            <w:tcW w:w="1027"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59"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271"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2170" w:type="dxa"/>
            <w:gridSpan w:val="2"/>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公开02表</w:t>
            </w:r>
          </w:p>
        </w:tc>
      </w:tr>
      <w:tr>
        <w:trPr>
          <w:trHeight w:val="300" w:hRule="atLeast"/>
        </w:trPr>
        <w:tc>
          <w:tcPr>
            <w:tcW w:w="1027"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59"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271"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553"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2170" w:type="dxa"/>
            <w:gridSpan w:val="2"/>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450" w:hRule="atLeast"/>
        </w:trPr>
        <w:tc>
          <w:tcPr>
            <w:tcW w:w="2357" w:type="dxa"/>
            <w:gridSpan w:val="3"/>
            <w:tcBorders>
              <w:top w:val="single" w:color="000000" w:sz="8" w:space="0"/>
              <w:left w:val="single" w:color="000000" w:sz="8" w:space="0"/>
              <w:bottom w:val="single" w:color="000000" w:sz="4" w:space="0"/>
              <w:right w:val="nil"/>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本年收入合计</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财政拨款收入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上级补助收入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事业收入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经营收入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附属单位上缴收入</w:t>
            </w:r>
          </w:p>
        </w:tc>
        <w:tc>
          <w:tcPr>
            <w:tcW w:w="1642" w:type="dxa"/>
            <w:vMerge w:val="restart"/>
            <w:tcBorders>
              <w:top w:val="single" w:color="000000" w:sz="8"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其他收入</w:t>
            </w:r>
          </w:p>
        </w:tc>
      </w:tr>
      <w:tr>
        <w:trPr>
          <w:trHeight w:val="450" w:hRule="atLeast"/>
        </w:trPr>
        <w:tc>
          <w:tcPr>
            <w:tcW w:w="1086" w:type="dxa"/>
            <w:gridSpan w:val="2"/>
            <w:vMerge w:val="restart"/>
            <w:tcBorders>
              <w:top w:val="single" w:color="000000" w:sz="4" w:space="0"/>
              <w:left w:val="single" w:color="000000" w:sz="8" w:space="0"/>
              <w:bottom w:val="single" w:color="000000" w:sz="4" w:space="0"/>
              <w:right w:val="nil"/>
            </w:tcBorders>
            <w:shd w:val="clear" w:color="auto" w:fill="FFFFFF"/>
            <w:vAlign w:val="center"/>
          </w:tcPr>
          <w:p>
            <w:pPr>
              <w:widowControl/>
              <w:jc w:val="center"/>
              <w:textAlignment w:val="center"/>
              <w:rPr>
                <w:rStyle w:val="11"/>
                <w:rFonts w:ascii="宋体" w:hAnsi="宋体" w:eastAsia="宋体"/>
                <w:i w:val="0"/>
                <w:color w:val="000000"/>
                <w:kern w:val="0"/>
                <w:sz w:val="20"/>
                <w:szCs w:val="20"/>
                <w:lang w:val="en-US" w:eastAsia="zh-CN"/>
              </w:rPr>
            </w:pPr>
            <w:r>
              <w:rPr>
                <w:rStyle w:val="11"/>
                <w:rFonts w:ascii="宋体" w:hAnsi="宋体" w:eastAsia="宋体"/>
                <w:i w:val="0"/>
                <w:color w:val="000000"/>
                <w:kern w:val="0"/>
                <w:sz w:val="20"/>
                <w:szCs w:val="20"/>
                <w:lang w:val="en-US" w:eastAsia="zh-CN"/>
              </w:rPr>
              <w:t>功能分类</w:t>
            </w:r>
          </w:p>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科目编码</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vMerge w:val="continue"/>
            <w:tcBorders>
              <w:top w:val="single" w:color="000000" w:sz="4" w:space="0"/>
              <w:left w:val="single" w:color="000000" w:sz="8"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2357" w:type="dxa"/>
            <w:gridSpan w:val="3"/>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栏次</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5</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6</w:t>
            </w:r>
          </w:p>
        </w:tc>
        <w:tc>
          <w:tcPr>
            <w:tcW w:w="1642" w:type="dxa"/>
            <w:tcBorders>
              <w:top w:val="single" w:color="000000" w:sz="4"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7</w:t>
            </w:r>
          </w:p>
        </w:tc>
      </w:tr>
      <w:tr>
        <w:trPr>
          <w:trHeight w:val="450" w:hRule="atLeast"/>
        </w:trPr>
        <w:tc>
          <w:tcPr>
            <w:tcW w:w="2357" w:type="dxa"/>
            <w:gridSpan w:val="3"/>
            <w:tcBorders>
              <w:top w:val="nil"/>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2626.81</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2626.81</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社会保障和就业支出</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行政事业单位离退休</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华文中宋" w:hAnsi="华文中宋" w:eastAsia="华文中宋"/>
                <w:i w:val="0"/>
                <w:color w:val="000000"/>
                <w:kern w:val="2"/>
                <w:sz w:val="20"/>
                <w:szCs w:val="20"/>
                <w:lang w:val="en-US" w:eastAsia="zh-CN" w:bidi="ar-SA"/>
              </w:rPr>
            </w:pPr>
            <w:r>
              <w:rPr>
                <w:rStyle w:val="11"/>
                <w:rFonts w:ascii="华文中宋" w:hAnsi="华文中宋" w:eastAsia="华文中宋"/>
                <w:i w:val="0"/>
                <w:color w:val="000000"/>
                <w:kern w:val="2"/>
                <w:sz w:val="20"/>
                <w:szCs w:val="20"/>
                <w:lang w:val="en-US" w:eastAsia="zh-CN" w:bidi="ar-SA"/>
              </w:rPr>
              <w:t>49.59</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华文中宋" w:hAnsi="华文中宋" w:eastAsia="华文中宋"/>
                <w:i w:val="0"/>
                <w:color w:val="000000"/>
                <w:kern w:val="2"/>
                <w:sz w:val="20"/>
                <w:szCs w:val="20"/>
                <w:lang w:val="en-US" w:eastAsia="zh-CN" w:bidi="ar-SA"/>
              </w:rPr>
              <w:t>49.59</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2080501</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归口管理的行政单位离退休</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9.70</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9.70</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2080505</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机关事业单位基本养老保险缴费支出</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27.67</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27.67</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2080506</w:t>
            </w:r>
          </w:p>
        </w:tc>
        <w:tc>
          <w:tcPr>
            <w:tcW w:w="12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机关事业单位职业年金缴费支出</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12.22</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12.22</w:t>
            </w: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卫生健康支出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21011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行政事业单位医疗</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2101101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行政单位医疗</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节能环保支出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21104</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自然生态保护</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2110402</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农村环境保护</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农林水支出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2288.07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2288.07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农业</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2190.92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2190.92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行政运行</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336.90</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336.90</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2130102</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一般行政管理事务</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2130108</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病虫害控制</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47.07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47.07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2130109</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农产品质量安全</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7.99</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7.99</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2130119</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防灾救灾</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8.5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8.5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2130122</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农业生产支持补贴</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1000.48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1000.48</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2130125</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农产品加工与促销</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2130135</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农业资源保护修复与利用</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360.75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360.75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2130199</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其他农业支出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413.36</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413.36</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21308</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普惠金融发展支出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90.95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90.95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2130803</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农业保险保费补贴</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90.95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90.95</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21309</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目标价格补贴</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2130901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棉花目标价格补贴</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6.2</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住房保障支出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22102</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住房改革支出</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2210201</w:t>
            </w:r>
          </w:p>
        </w:tc>
        <w:tc>
          <w:tcPr>
            <w:tcW w:w="1271" w:type="dxa"/>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住房公积金</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1"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642"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615" w:hRule="atLeast"/>
        </w:trPr>
        <w:tc>
          <w:tcPr>
            <w:tcW w:w="13845" w:type="dxa"/>
            <w:gridSpan w:val="16"/>
            <w:tcBorders>
              <w:top w:val="single" w:color="000000" w:sz="8" w:space="0"/>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注：本表反映部门本年度取得的各项收入情况。本表金额转换为万元时，因四舍五入可能存在尾差。</w:t>
            </w:r>
          </w:p>
        </w:tc>
      </w:tr>
    </w:tbl>
    <w:p>
      <w:pPr>
        <w:jc w:val="both"/>
        <w:textAlignment w:val="baseline"/>
        <w:rPr>
          <w:rStyle w:val="11"/>
          <w:rFonts w:ascii="仿宋_GB2312" w:hAnsi="仿宋_GB2312" w:eastAsia="仿宋_GB2312"/>
          <w:color w:val="000000"/>
          <w:kern w:val="2"/>
          <w:sz w:val="32"/>
          <w:szCs w:val="32"/>
          <w:lang w:val="en-US" w:eastAsia="zh-CN" w:bidi="ar-SA"/>
        </w:rPr>
      </w:pPr>
    </w:p>
    <w:p>
      <w:pPr>
        <w:jc w:val="both"/>
        <w:textAlignment w:val="baseline"/>
        <w:sectPr>
          <w:pgSz w:w="16838" w:h="11906"/>
          <w:pgMar w:top="1800" w:right="1440" w:bottom="1800" w:left="1440" w:header="720" w:footer="720" w:gutter="0"/>
          <w:lnNumType w:countBy="0"/>
          <w:cols w:space="720" w:num="1"/>
          <w:docGrid w:type="lines" w:linePitch="312"/>
        </w:sectPr>
      </w:pPr>
    </w:p>
    <w:tbl>
      <w:tblPr>
        <w:tblW w:w="139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0"/>
        <w:gridCol w:w="63"/>
        <w:gridCol w:w="27"/>
        <w:gridCol w:w="1349"/>
        <w:gridCol w:w="1774"/>
        <w:gridCol w:w="130"/>
        <w:gridCol w:w="1672"/>
        <w:gridCol w:w="232"/>
        <w:gridCol w:w="1569"/>
        <w:gridCol w:w="335"/>
        <w:gridCol w:w="1467"/>
        <w:gridCol w:w="437"/>
        <w:gridCol w:w="1364"/>
        <w:gridCol w:w="540"/>
        <w:gridCol w:w="1909"/>
      </w:tblGrid>
      <w:tr>
        <w:trPr>
          <w:trHeight w:val="435" w:hRule="atLeast"/>
        </w:trPr>
        <w:tc>
          <w:tcPr>
            <w:tcW w:w="13988" w:type="dxa"/>
            <w:gridSpan w:val="15"/>
            <w:tcBorders>
              <w:top w:val="nil"/>
              <w:left w:val="nil"/>
              <w:bottom w:val="nil"/>
              <w:right w:val="nil"/>
            </w:tcBorders>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支出决算表</w:t>
            </w:r>
          </w:p>
        </w:tc>
      </w:tr>
      <w:tr>
        <w:trPr>
          <w:trHeight w:val="285" w:hRule="atLeast"/>
        </w:trPr>
        <w:tc>
          <w:tcPr>
            <w:tcW w:w="112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90"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349"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77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2"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1"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2"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1"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2449" w:type="dxa"/>
            <w:gridSpan w:val="2"/>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公开03表</w:t>
            </w:r>
          </w:p>
        </w:tc>
      </w:tr>
      <w:tr>
        <w:trPr>
          <w:trHeight w:val="300" w:hRule="atLeast"/>
        </w:trPr>
        <w:tc>
          <w:tcPr>
            <w:tcW w:w="1120"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90"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349"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77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2"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1" w:type="dxa"/>
            <w:gridSpan w:val="2"/>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802"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801" w:type="dxa"/>
            <w:gridSpan w:val="2"/>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2449" w:type="dxa"/>
            <w:gridSpan w:val="2"/>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450" w:hRule="atLeast"/>
        </w:trPr>
        <w:tc>
          <w:tcPr>
            <w:tcW w:w="2559" w:type="dxa"/>
            <w:gridSpan w:val="4"/>
            <w:tcBorders>
              <w:top w:val="single" w:color="000000" w:sz="8" w:space="0"/>
              <w:left w:val="single" w:color="000000" w:sz="8" w:space="0"/>
              <w:bottom w:val="single" w:color="000000" w:sz="4" w:space="0"/>
              <w:right w:val="nil"/>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本年支出合计</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基本支出</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项目支出</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上缴上级支出</w:t>
            </w:r>
          </w:p>
        </w:tc>
        <w:tc>
          <w:tcPr>
            <w:tcW w:w="1904"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经营支出</w:t>
            </w:r>
          </w:p>
        </w:tc>
        <w:tc>
          <w:tcPr>
            <w:tcW w:w="1909" w:type="dxa"/>
            <w:vMerge w:val="restart"/>
            <w:tcBorders>
              <w:top w:val="single" w:color="000000" w:sz="8"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对附属单位补助支出</w:t>
            </w:r>
          </w:p>
        </w:tc>
      </w:tr>
      <w:tr>
        <w:trPr>
          <w:trHeight w:val="450" w:hRule="atLeast"/>
        </w:trPr>
        <w:tc>
          <w:tcPr>
            <w:tcW w:w="1183" w:type="dxa"/>
            <w:gridSpan w:val="2"/>
            <w:vMerge w:val="restart"/>
            <w:tcBorders>
              <w:top w:val="single" w:color="000000" w:sz="4" w:space="0"/>
              <w:left w:val="single" w:color="000000" w:sz="8" w:space="0"/>
              <w:bottom w:val="single" w:color="000000" w:sz="4" w:space="0"/>
              <w:right w:val="nil"/>
            </w:tcBorders>
            <w:shd w:val="clear" w:color="auto" w:fill="FFFFFF"/>
            <w:vAlign w:val="center"/>
          </w:tcPr>
          <w:p>
            <w:pPr>
              <w:widowControl/>
              <w:jc w:val="center"/>
              <w:textAlignment w:val="center"/>
              <w:rPr>
                <w:rStyle w:val="11"/>
                <w:rFonts w:ascii="宋体" w:hAnsi="宋体" w:eastAsia="宋体"/>
                <w:i w:val="0"/>
                <w:color w:val="000000"/>
                <w:kern w:val="0"/>
                <w:sz w:val="20"/>
                <w:szCs w:val="20"/>
                <w:lang w:val="en-US" w:eastAsia="zh-CN"/>
              </w:rPr>
            </w:pPr>
            <w:r>
              <w:rPr>
                <w:rStyle w:val="11"/>
                <w:rFonts w:ascii="宋体" w:hAnsi="宋体" w:eastAsia="宋体"/>
                <w:i w:val="0"/>
                <w:color w:val="000000"/>
                <w:kern w:val="0"/>
                <w:sz w:val="20"/>
                <w:szCs w:val="20"/>
                <w:lang w:val="en-US" w:eastAsia="zh-CN"/>
              </w:rPr>
              <w:t>功能分类</w:t>
            </w:r>
          </w:p>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科目编码</w:t>
            </w:r>
          </w:p>
        </w:tc>
        <w:tc>
          <w:tcPr>
            <w:tcW w:w="137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9" w:type="dxa"/>
            <w:vMerge w:val="continue"/>
            <w:tcBorders>
              <w:top w:val="single" w:color="000000" w:sz="8" w:space="0"/>
              <w:left w:val="single" w:color="000000" w:sz="4" w:space="0"/>
              <w:bottom w:val="single" w:color="000000" w:sz="4" w:space="0"/>
              <w:right w:val="single" w:color="000000" w:sz="8"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vMerge w:val="continue"/>
            <w:tcBorders>
              <w:top w:val="single" w:color="000000" w:sz="4" w:space="0"/>
              <w:left w:val="single" w:color="000000" w:sz="8"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4"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09" w:type="dxa"/>
            <w:vMerge w:val="continue"/>
            <w:tcBorders>
              <w:top w:val="single" w:color="000000" w:sz="8" w:space="0"/>
              <w:left w:val="single" w:color="000000" w:sz="4" w:space="0"/>
              <w:bottom w:val="single" w:color="000000" w:sz="4" w:space="0"/>
              <w:right w:val="single" w:color="000000" w:sz="8"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320" w:hRule="atLeast"/>
        </w:trPr>
        <w:tc>
          <w:tcPr>
            <w:tcW w:w="2559" w:type="dxa"/>
            <w:gridSpan w:val="4"/>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栏次</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c>
          <w:tcPr>
            <w:tcW w:w="190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5</w:t>
            </w:r>
          </w:p>
        </w:tc>
        <w:tc>
          <w:tcPr>
            <w:tcW w:w="1909" w:type="dxa"/>
            <w:tcBorders>
              <w:top w:val="single" w:color="000000" w:sz="4"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6</w:t>
            </w:r>
          </w:p>
        </w:tc>
      </w:tr>
      <w:tr>
        <w:trPr>
          <w:trHeight w:val="450" w:hRule="atLeast"/>
        </w:trPr>
        <w:tc>
          <w:tcPr>
            <w:tcW w:w="2559" w:type="dxa"/>
            <w:gridSpan w:val="4"/>
            <w:tcBorders>
              <w:top w:val="nil"/>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1839.89</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472.57</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1367.32</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201</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一般公共服务支出</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20132</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组织事务</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2013299</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其他组织事务支出</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社会保障和就业支出</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4"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w:t>
            </w:r>
          </w:p>
        </w:tc>
        <w:tc>
          <w:tcPr>
            <w:tcW w:w="13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行政事业单位离退休</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归口管理的行政单位离退休</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2080505</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机关事业单位基本养老保险缴费支出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2080506</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机关事业单位职业年金缴费支出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12.22</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12.22</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卫生健康支出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21011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行政事业单位医疗</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2101101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行政单位医疗</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节能环保支出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21104</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自然生态保护</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2110402</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农村环境保护</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农林水支出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1475.75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363.44</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1112.32</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农业</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1441.59</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363.44</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1078.15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行政运行</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333.51</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333.51</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2130102</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一般行政管理事务</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2130108</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病虫害控制</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57.13</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57.13</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2130109</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农产品质量安全</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6.39</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6.39</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2130122</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农业生产支持补贴</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762.01</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762.01</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2130125</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农产品加工与促销</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2130135</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农业资源保护修复与利用</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236.75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236.75</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2130199</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其他农业支出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29.93</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29.93</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21308</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普惠金融发展支出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2130803</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农业保险保费补贴</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住房保障支出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22102</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住房改革支出</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83" w:type="dxa"/>
            <w:gridSpan w:val="2"/>
            <w:tcBorders>
              <w:top w:val="single" w:color="000000" w:sz="4" w:space="0"/>
              <w:left w:val="single" w:color="000000" w:sz="8" w:space="0"/>
              <w:bottom w:val="single" w:color="000000" w:sz="8" w:space="0"/>
              <w:right w:val="nil"/>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2210201</w:t>
            </w:r>
          </w:p>
        </w:tc>
        <w:tc>
          <w:tcPr>
            <w:tcW w:w="1376"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18"/>
                <w:szCs w:val="18"/>
                <w:lang w:val="en-US" w:eastAsia="zh-CN" w:bidi="ar-SA"/>
              </w:rPr>
            </w:pPr>
            <w:r>
              <w:rPr>
                <w:rStyle w:val="11"/>
                <w:kern w:val="2"/>
                <w:sz w:val="18"/>
                <w:szCs w:val="18"/>
                <w:lang w:val="en-US" w:eastAsia="zh-CN" w:bidi="ar-SA"/>
              </w:rPr>
              <w:t xml:space="preserve">  住房公积金</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4" w:type="dxa"/>
            <w:gridSpan w:val="2"/>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909"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630" w:hRule="atLeast"/>
        </w:trPr>
        <w:tc>
          <w:tcPr>
            <w:tcW w:w="13988" w:type="dxa"/>
            <w:gridSpan w:val="15"/>
            <w:tcBorders>
              <w:top w:val="single" w:color="000000" w:sz="8" w:space="0"/>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注：本表反映部门本年度各项支出情况。本表金额转换为万元时，因四舍五入可能存在尾差。</w:t>
            </w:r>
          </w:p>
        </w:tc>
      </w:tr>
    </w:tbl>
    <w:p>
      <w:pPr>
        <w:jc w:val="both"/>
        <w:textAlignment w:val="baseline"/>
        <w:sectPr>
          <w:pgSz w:w="16838" w:h="11906"/>
          <w:pgMar w:top="1800" w:right="1440" w:bottom="1800" w:left="1440" w:header="720" w:footer="720" w:gutter="0"/>
          <w:lnNumType w:countBy="0"/>
          <w:cols w:space="720" w:num="1"/>
          <w:docGrid w:type="lines" w:linePitch="312"/>
        </w:sectPr>
      </w:pPr>
    </w:p>
    <w:tbl>
      <w:tblPr>
        <w:tblW w:w="139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994"/>
        <w:gridCol w:w="720"/>
        <w:gridCol w:w="1210"/>
        <w:gridCol w:w="3194"/>
        <w:gridCol w:w="600"/>
        <w:gridCol w:w="911"/>
        <w:gridCol w:w="1343"/>
        <w:gridCol w:w="336"/>
        <w:gridCol w:w="1680"/>
      </w:tblGrid>
      <w:tr>
        <w:trPr>
          <w:trHeight w:val="360" w:hRule="atLeast"/>
        </w:trPr>
        <w:tc>
          <w:tcPr>
            <w:tcW w:w="13988" w:type="dxa"/>
            <w:gridSpan w:val="9"/>
            <w:tcBorders>
              <w:top w:val="nil"/>
              <w:left w:val="nil"/>
              <w:bottom w:val="nil"/>
              <w:right w:val="nil"/>
            </w:tcBorders>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财政拨款收入支出决算总表</w:t>
            </w:r>
          </w:p>
        </w:tc>
      </w:tr>
      <w:tr>
        <w:trPr>
          <w:trHeight w:val="199" w:hRule="atLeast"/>
        </w:trPr>
        <w:tc>
          <w:tcPr>
            <w:tcW w:w="399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72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21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60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911"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343"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2016" w:type="dxa"/>
            <w:gridSpan w:val="2"/>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公开04表</w:t>
            </w:r>
          </w:p>
        </w:tc>
      </w:tr>
      <w:tr>
        <w:trPr>
          <w:trHeight w:val="300" w:hRule="atLeast"/>
        </w:trPr>
        <w:tc>
          <w:tcPr>
            <w:tcW w:w="3994"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72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21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600"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911"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1343" w:type="dxa"/>
            <w:tcBorders>
              <w:top w:val="nil"/>
              <w:left w:val="nil"/>
              <w:bottom w:val="nil"/>
              <w:right w:val="nil"/>
            </w:tcBorders>
            <w:shd w:val="clear" w:color="auto" w:fill="FFFFFF"/>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2016" w:type="dxa"/>
            <w:gridSpan w:val="2"/>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402" w:hRule="atLeast"/>
        </w:trPr>
        <w:tc>
          <w:tcPr>
            <w:tcW w:w="5924" w:type="dxa"/>
            <w:gridSpan w:val="3"/>
            <w:tcBorders>
              <w:top w:val="single" w:color="000000" w:sz="8"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收入</w:t>
            </w:r>
          </w:p>
        </w:tc>
        <w:tc>
          <w:tcPr>
            <w:tcW w:w="8064" w:type="dxa"/>
            <w:gridSpan w:val="6"/>
            <w:tcBorders>
              <w:top w:val="single" w:color="000000" w:sz="8"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支出</w:t>
            </w:r>
          </w:p>
        </w:tc>
      </w:tr>
      <w:tr>
        <w:trPr>
          <w:trHeight w:val="630"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行次</w:t>
            </w:r>
          </w:p>
        </w:tc>
        <w:tc>
          <w:tcPr>
            <w:tcW w:w="12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金额</w:t>
            </w: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行次</w:t>
            </w:r>
          </w:p>
        </w:tc>
        <w:tc>
          <w:tcPr>
            <w:tcW w:w="9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16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一般公共预算财政拨款</w:t>
            </w:r>
          </w:p>
        </w:tc>
        <w:tc>
          <w:tcPr>
            <w:tcW w:w="1680" w:type="dxa"/>
            <w:tcBorders>
              <w:top w:val="single" w:color="000000" w:sz="4"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政府性基金预算财政拨款</w:t>
            </w: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    次</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    次</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9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680" w:type="dxa"/>
            <w:tcBorders>
              <w:top w:val="single" w:color="000000" w:sz="4" w:space="0"/>
              <w:left w:val="single" w:color="000000" w:sz="4" w:space="0"/>
              <w:bottom w:val="single" w:color="000000" w:sz="4" w:space="0"/>
              <w:right w:val="single" w:color="000000" w:sz="8"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一、一般公共预算财政拨款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2626.81</w:t>
            </w: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一、一般公共服务支出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15</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二、政府性基金预算财政拨款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二、外交支出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16</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八、社会保障和就业支出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17</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九、卫生健康支出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18</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十、节能环保支出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19</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6</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十一、城乡社区支出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20</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FFFFFF"/>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7</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十二、农林水支出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21</w:t>
            </w:r>
          </w:p>
        </w:tc>
        <w:tc>
          <w:tcPr>
            <w:tcW w:w="911" w:type="dxa"/>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1475.75</w:t>
            </w:r>
          </w:p>
        </w:tc>
        <w:tc>
          <w:tcPr>
            <w:tcW w:w="1679" w:type="dxa"/>
            <w:gridSpan w:val="2"/>
            <w:tcBorders>
              <w:top w:val="single" w:color="000000" w:sz="4" w:space="0"/>
              <w:left w:val="single" w:color="000000" w:sz="4" w:space="0"/>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1475.75</w:t>
            </w:r>
          </w:p>
        </w:tc>
        <w:tc>
          <w:tcPr>
            <w:tcW w:w="1680"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8</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十九、住房保障支出</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22</w:t>
            </w:r>
          </w:p>
        </w:tc>
        <w:tc>
          <w:tcPr>
            <w:tcW w:w="911" w:type="dxa"/>
            <w:tcBorders>
              <w:top w:val="single" w:color="000000" w:sz="4" w:space="0"/>
              <w:left w:val="nil"/>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1680" w:type="dxa"/>
            <w:tcBorders>
              <w:top w:val="single" w:color="000000" w:sz="4" w:space="0"/>
              <w:left w:val="nil"/>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本年收入合计</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9</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2626.81</w:t>
            </w:r>
          </w:p>
        </w:tc>
        <w:tc>
          <w:tcPr>
            <w:tcW w:w="3194"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本年支出合计</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23</w:t>
            </w:r>
          </w:p>
        </w:tc>
        <w:tc>
          <w:tcPr>
            <w:tcW w:w="911" w:type="dxa"/>
            <w:tcBorders>
              <w:top w:val="single" w:color="000000" w:sz="4" w:space="0"/>
              <w:left w:val="nil"/>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1839.89</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1839.89</w:t>
            </w:r>
          </w:p>
        </w:tc>
        <w:tc>
          <w:tcPr>
            <w:tcW w:w="1680" w:type="dxa"/>
            <w:tcBorders>
              <w:top w:val="single" w:color="000000" w:sz="4" w:space="0"/>
              <w:left w:val="nil"/>
              <w:bottom w:val="single" w:color="000000" w:sz="4" w:space="0"/>
              <w:right w:val="single" w:color="000000" w:sz="8" w:space="0"/>
            </w:tcBorders>
            <w:vAlign w:val="center"/>
          </w:tcPr>
          <w:p>
            <w:pPr>
              <w:jc w:val="both"/>
              <w:textAlignment w:val="baseline"/>
              <w:rPr>
                <w:rStyle w:val="11"/>
                <w:rFonts w:ascii="宋体" w:hAnsi="宋体" w:eastAsia="宋体"/>
                <w:b/>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年初财政拨款结转和结余</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586.41</w:t>
            </w:r>
          </w:p>
        </w:tc>
        <w:tc>
          <w:tcPr>
            <w:tcW w:w="3194"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年末财政拨款结转和结余</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24</w:t>
            </w:r>
          </w:p>
        </w:tc>
        <w:tc>
          <w:tcPr>
            <w:tcW w:w="911" w:type="dxa"/>
            <w:tcBorders>
              <w:top w:val="single" w:color="000000" w:sz="4" w:space="0"/>
              <w:left w:val="nil"/>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1373.33</w:t>
            </w: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1373.33</w:t>
            </w:r>
          </w:p>
        </w:tc>
        <w:tc>
          <w:tcPr>
            <w:tcW w:w="1680" w:type="dxa"/>
            <w:tcBorders>
              <w:top w:val="single" w:color="000000" w:sz="4" w:space="0"/>
              <w:left w:val="nil"/>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4" w:space="0"/>
              <w:right w:val="single" w:color="000000" w:sz="4" w:space="0"/>
            </w:tcBorders>
            <w:shd w:val="clear" w:color="auto" w:fill="auto"/>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一般公共预算财政拨款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11</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586.41</w:t>
            </w:r>
          </w:p>
        </w:tc>
        <w:tc>
          <w:tcPr>
            <w:tcW w:w="3194" w:type="dxa"/>
            <w:tcBorders>
              <w:top w:val="single" w:color="000000" w:sz="4" w:space="0"/>
              <w:left w:val="single" w:color="000000" w:sz="4" w:space="0"/>
              <w:bottom w:val="single" w:color="000000" w:sz="4" w:space="0"/>
              <w:right w:val="nil"/>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25</w:t>
            </w:r>
          </w:p>
        </w:tc>
        <w:tc>
          <w:tcPr>
            <w:tcW w:w="911" w:type="dxa"/>
            <w:tcBorders>
              <w:top w:val="single" w:color="000000" w:sz="4" w:space="0"/>
              <w:left w:val="nil"/>
              <w:bottom w:val="single" w:color="000000" w:sz="4" w:space="0"/>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80" w:type="dxa"/>
            <w:tcBorders>
              <w:top w:val="single" w:color="000000" w:sz="4" w:space="0"/>
              <w:left w:val="nil"/>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nil"/>
              <w:right w:val="nil"/>
            </w:tcBorders>
            <w:shd w:val="clear" w:color="auto" w:fill="auto"/>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政府性基金预算财政拨款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12</w:t>
            </w:r>
          </w:p>
        </w:tc>
        <w:tc>
          <w:tcPr>
            <w:tcW w:w="1210" w:type="dxa"/>
            <w:tcBorders>
              <w:top w:val="single" w:color="000000" w:sz="4" w:space="0"/>
              <w:left w:val="single" w:color="000000" w:sz="4" w:space="0"/>
              <w:bottom w:val="nil"/>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nil"/>
              <w:right w:val="nil"/>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26</w:t>
            </w:r>
          </w:p>
        </w:tc>
        <w:tc>
          <w:tcPr>
            <w:tcW w:w="911" w:type="dxa"/>
            <w:tcBorders>
              <w:top w:val="single" w:color="000000" w:sz="4" w:space="0"/>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80" w:type="dxa"/>
            <w:tcBorders>
              <w:top w:val="single" w:color="000000" w:sz="4" w:space="0"/>
              <w:left w:val="nil"/>
              <w:bottom w:val="nil"/>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nil"/>
              <w:right w:val="nil"/>
            </w:tcBorders>
            <w:shd w:val="clear" w:color="auto" w:fill="auto"/>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13</w:t>
            </w:r>
          </w:p>
        </w:tc>
        <w:tc>
          <w:tcPr>
            <w:tcW w:w="1210" w:type="dxa"/>
            <w:tcBorders>
              <w:top w:val="single" w:color="000000" w:sz="4" w:space="0"/>
              <w:left w:val="single" w:color="000000" w:sz="4" w:space="0"/>
              <w:bottom w:val="nil"/>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194" w:type="dxa"/>
            <w:tcBorders>
              <w:top w:val="single" w:color="000000" w:sz="4" w:space="0"/>
              <w:left w:val="single" w:color="000000" w:sz="4" w:space="0"/>
              <w:bottom w:val="nil"/>
              <w:right w:val="nil"/>
            </w:tcBorders>
            <w:shd w:val="clear" w:color="auto" w:fill="auto"/>
            <w:vAlign w:val="center"/>
          </w:tcPr>
          <w:p>
            <w:pPr>
              <w:jc w:val="left"/>
              <w:textAlignment w:val="baseline"/>
              <w:rPr>
                <w:rStyle w:val="11"/>
                <w:rFonts w:ascii="宋体" w:hAnsi="宋体" w:eastAsia="宋体"/>
                <w:i w:val="0"/>
                <w:color w:val="000000"/>
                <w:kern w:val="2"/>
                <w:sz w:val="20"/>
                <w:szCs w:val="20"/>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27</w:t>
            </w:r>
          </w:p>
        </w:tc>
        <w:tc>
          <w:tcPr>
            <w:tcW w:w="911" w:type="dxa"/>
            <w:tcBorders>
              <w:top w:val="single" w:color="000000" w:sz="4" w:space="0"/>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7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680" w:type="dxa"/>
            <w:tcBorders>
              <w:top w:val="single" w:color="000000" w:sz="4" w:space="0"/>
              <w:left w:val="nil"/>
              <w:bottom w:val="nil"/>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02" w:hRule="atLeast"/>
        </w:trPr>
        <w:tc>
          <w:tcPr>
            <w:tcW w:w="3994" w:type="dxa"/>
            <w:tcBorders>
              <w:top w:val="single" w:color="000000" w:sz="4" w:space="0"/>
              <w:left w:val="single" w:color="000000" w:sz="8" w:space="0"/>
              <w:bottom w:val="single" w:color="000000" w:sz="8" w:space="0"/>
              <w:right w:val="nil"/>
            </w:tcBorders>
            <w:shd w:val="clear" w:color="auto" w:fill="FFFFFF"/>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总计</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14</w:t>
            </w:r>
          </w:p>
        </w:tc>
        <w:tc>
          <w:tcPr>
            <w:tcW w:w="1210"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3213.22</w:t>
            </w:r>
          </w:p>
        </w:tc>
        <w:tc>
          <w:tcPr>
            <w:tcW w:w="3194" w:type="dxa"/>
            <w:tcBorders>
              <w:top w:val="single" w:color="000000" w:sz="4" w:space="0"/>
              <w:left w:val="single" w:color="000000" w:sz="4" w:space="0"/>
              <w:bottom w:val="single" w:color="000000" w:sz="8" w:space="0"/>
              <w:right w:val="nil"/>
            </w:tcBorders>
            <w:shd w:val="clear" w:color="auto" w:fill="FFFFFF"/>
            <w:vAlign w:val="center"/>
          </w:tcPr>
          <w:p>
            <w:pPr>
              <w:widowControl/>
              <w:jc w:val="center"/>
              <w:textAlignment w:val="center"/>
              <w:rPr>
                <w:rStyle w:val="11"/>
                <w:rFonts w:ascii="宋体" w:hAnsi="宋体" w:eastAsia="宋体"/>
                <w:b/>
                <w:i w:val="0"/>
                <w:color w:val="000000"/>
                <w:kern w:val="2"/>
                <w:sz w:val="20"/>
                <w:szCs w:val="20"/>
                <w:lang w:val="en-US" w:eastAsia="zh-CN" w:bidi="ar-SA"/>
              </w:rPr>
            </w:pPr>
            <w:r>
              <w:rPr>
                <w:rStyle w:val="11"/>
                <w:rFonts w:ascii="宋体" w:hAnsi="宋体" w:eastAsia="宋体"/>
                <w:b/>
                <w:i w:val="0"/>
                <w:color w:val="000000"/>
                <w:kern w:val="0"/>
                <w:sz w:val="20"/>
                <w:szCs w:val="20"/>
                <w:lang w:val="en-US" w:eastAsia="zh-CN"/>
              </w:rPr>
              <w:t>总计</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28</w:t>
            </w:r>
          </w:p>
        </w:tc>
        <w:tc>
          <w:tcPr>
            <w:tcW w:w="911" w:type="dxa"/>
            <w:tcBorders>
              <w:top w:val="single" w:color="000000" w:sz="4" w:space="0"/>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3213.22</w:t>
            </w:r>
          </w:p>
        </w:tc>
        <w:tc>
          <w:tcPr>
            <w:tcW w:w="1679" w:type="dxa"/>
            <w:gridSpan w:val="2"/>
            <w:tcBorders>
              <w:top w:val="single" w:color="000000" w:sz="4" w:space="0"/>
              <w:left w:val="single" w:color="000000" w:sz="4" w:space="0"/>
              <w:bottom w:val="single" w:color="000000" w:sz="8" w:space="0"/>
              <w:right w:val="single" w:color="000000" w:sz="4" w:space="0"/>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3213.22</w:t>
            </w:r>
          </w:p>
        </w:tc>
        <w:tc>
          <w:tcPr>
            <w:tcW w:w="1680" w:type="dxa"/>
            <w:tcBorders>
              <w:top w:val="single" w:color="000000" w:sz="4" w:space="0"/>
              <w:left w:val="nil"/>
              <w:bottom w:val="single" w:color="000000" w:sz="8" w:space="0"/>
              <w:right w:val="single" w:color="000000" w:sz="8" w:space="0"/>
            </w:tcBorders>
            <w:vAlign w:val="center"/>
          </w:tcPr>
          <w:p>
            <w:pPr>
              <w:jc w:val="both"/>
              <w:textAlignment w:val="baseline"/>
              <w:rPr>
                <w:rStyle w:val="11"/>
                <w:rFonts w:ascii="宋体" w:hAnsi="宋体" w:eastAsia="宋体"/>
                <w:b/>
                <w:i w:val="0"/>
                <w:color w:val="000000"/>
                <w:kern w:val="2"/>
                <w:sz w:val="20"/>
                <w:szCs w:val="20"/>
                <w:lang w:val="en-US" w:eastAsia="zh-CN" w:bidi="ar-SA"/>
              </w:rPr>
            </w:pPr>
          </w:p>
        </w:tc>
      </w:tr>
      <w:tr>
        <w:trPr>
          <w:trHeight w:val="585" w:hRule="atLeast"/>
        </w:trPr>
        <w:tc>
          <w:tcPr>
            <w:tcW w:w="13988" w:type="dxa"/>
            <w:gridSpan w:val="9"/>
            <w:tcBorders>
              <w:top w:val="single" w:color="000000" w:sz="8" w:space="0"/>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注：本表反映部门本年度一般公共预算财政拨款和政府性基金预算财政拨款的总收支和年末结转结余情况。本表金额转换为万元时，因四舍五入可能存在尾差。</w:t>
            </w:r>
          </w:p>
        </w:tc>
      </w:tr>
    </w:tbl>
    <w:p>
      <w:pPr>
        <w:jc w:val="both"/>
        <w:textAlignment w:val="baseline"/>
        <w:sectPr>
          <w:pgSz w:w="16838" w:h="11906"/>
          <w:pgMar w:top="1800" w:right="1440" w:bottom="1800" w:left="1440" w:header="720" w:footer="720" w:gutter="0"/>
          <w:lnNumType w:countBy="0"/>
          <w:cols w:space="720" w:num="1"/>
          <w:docGrid w:type="lines" w:linePitch="312"/>
        </w:sectPr>
      </w:pPr>
    </w:p>
    <w:tbl>
      <w:tblPr>
        <w:tblW w:w="139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6"/>
        <w:gridCol w:w="688"/>
        <w:gridCol w:w="2225"/>
        <w:gridCol w:w="3449"/>
        <w:gridCol w:w="3449"/>
        <w:gridCol w:w="3451"/>
      </w:tblGrid>
      <w:tr>
        <w:trPr>
          <w:trHeight w:val="600" w:hRule="atLeast"/>
        </w:trPr>
        <w:tc>
          <w:tcPr>
            <w:tcW w:w="13988" w:type="dxa"/>
            <w:gridSpan w:val="6"/>
            <w:tcBorders>
              <w:top w:val="nil"/>
              <w:left w:val="nil"/>
              <w:bottom w:val="nil"/>
              <w:right w:val="nil"/>
            </w:tcBorders>
            <w:shd w:val="clear" w:color="auto" w:fill="FFFFFF"/>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一般公共预算财政拨款支出决算表</w:t>
            </w:r>
          </w:p>
        </w:tc>
      </w:tr>
      <w:tr>
        <w:trPr>
          <w:trHeight w:val="222" w:hRule="atLeast"/>
        </w:trPr>
        <w:tc>
          <w:tcPr>
            <w:tcW w:w="726"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688"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2225"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49"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3449"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3451"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w:t>
            </w:r>
            <w:r>
              <w:rPr>
                <w:rStyle w:val="15"/>
                <w:rFonts w:ascii="宋体" w:hAnsi="宋体" w:eastAsia="宋体"/>
                <w:i w:val="0"/>
                <w:color w:val="000000"/>
                <w:kern w:val="2"/>
                <w:sz w:val="20"/>
                <w:szCs w:val="20"/>
                <w:lang w:val="en-US" w:eastAsia="zh-CN"/>
              </w:rPr>
              <w:t>5表</w:t>
            </w:r>
          </w:p>
        </w:tc>
      </w:tr>
      <w:tr>
        <w:trPr>
          <w:trHeight w:val="300" w:hRule="atLeast"/>
        </w:trPr>
        <w:tc>
          <w:tcPr>
            <w:tcW w:w="726"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688"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2225"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49"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3449"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3451"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405" w:hRule="atLeast"/>
        </w:trPr>
        <w:tc>
          <w:tcPr>
            <w:tcW w:w="3639" w:type="dxa"/>
            <w:gridSpan w:val="3"/>
            <w:tcBorders>
              <w:top w:val="single" w:color="000000" w:sz="8"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项 </w:t>
            </w:r>
            <w:r>
              <w:rPr>
                <w:rStyle w:val="13"/>
                <w:rFonts w:ascii="宋体" w:hAnsi="宋体" w:eastAsia="宋体"/>
                <w:i w:val="0"/>
                <w:color w:val="000000"/>
                <w:kern w:val="2"/>
                <w:sz w:val="20"/>
                <w:szCs w:val="20"/>
                <w:lang w:val="en-US" w:eastAsia="zh-CN"/>
              </w:rPr>
              <w:t xml:space="preserve">   </w:t>
            </w:r>
            <w:r>
              <w:rPr>
                <w:rStyle w:val="14"/>
                <w:rFonts w:ascii="宋体" w:hAnsi="宋体" w:eastAsia="宋体"/>
                <w:i w:val="0"/>
                <w:color w:val="000000"/>
                <w:kern w:val="2"/>
                <w:sz w:val="20"/>
                <w:szCs w:val="20"/>
                <w:lang w:val="en-US" w:eastAsia="zh-CN"/>
              </w:rPr>
              <w:t>目</w:t>
            </w:r>
          </w:p>
        </w:tc>
        <w:tc>
          <w:tcPr>
            <w:tcW w:w="10349" w:type="dxa"/>
            <w:gridSpan w:val="3"/>
            <w:tcBorders>
              <w:top w:val="single" w:color="000000" w:sz="8"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本年支出</w:t>
            </w:r>
          </w:p>
        </w:tc>
      </w:tr>
      <w:tr>
        <w:trPr>
          <w:trHeight w:val="495" w:hRule="atLeast"/>
        </w:trPr>
        <w:tc>
          <w:tcPr>
            <w:tcW w:w="1414" w:type="dxa"/>
            <w:gridSpan w:val="2"/>
            <w:vMerge w:val="restart"/>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0"/>
                <w:sz w:val="20"/>
                <w:szCs w:val="20"/>
                <w:lang w:val="en-US" w:eastAsia="zh-CN"/>
              </w:rPr>
            </w:pPr>
            <w:r>
              <w:rPr>
                <w:rStyle w:val="11"/>
                <w:rFonts w:ascii="宋体" w:hAnsi="宋体" w:eastAsia="宋体"/>
                <w:i w:val="0"/>
                <w:color w:val="000000"/>
                <w:kern w:val="0"/>
                <w:sz w:val="20"/>
                <w:szCs w:val="20"/>
                <w:lang w:val="en-US" w:eastAsia="zh-CN"/>
              </w:rPr>
              <w:t>功能分类</w:t>
            </w:r>
          </w:p>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科目编码</w:t>
            </w:r>
          </w:p>
        </w:tc>
        <w:tc>
          <w:tcPr>
            <w:tcW w:w="222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3449" w:type="dxa"/>
            <w:vMerge w:val="restart"/>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小计</w:t>
            </w:r>
          </w:p>
        </w:tc>
        <w:tc>
          <w:tcPr>
            <w:tcW w:w="3449" w:type="dxa"/>
            <w:vMerge w:val="restart"/>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基本支出</w:t>
            </w:r>
          </w:p>
        </w:tc>
        <w:tc>
          <w:tcPr>
            <w:tcW w:w="3451" w:type="dxa"/>
            <w:vMerge w:val="restart"/>
            <w:tcBorders>
              <w:top w:val="nil"/>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项目支出</w:t>
            </w:r>
          </w:p>
        </w:tc>
      </w:tr>
      <w:tr>
        <w:trPr>
          <w:trHeight w:val="360" w:hRule="atLeast"/>
        </w:trPr>
        <w:tc>
          <w:tcPr>
            <w:tcW w:w="1414" w:type="dxa"/>
            <w:gridSpan w:val="2"/>
            <w:vMerge w:val="continue"/>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2225"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49"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49"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51" w:type="dxa"/>
            <w:vMerge w:val="continue"/>
            <w:tcBorders>
              <w:top w:val="nil"/>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vMerge w:val="continue"/>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2225"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49"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49"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3451" w:type="dxa"/>
            <w:vMerge w:val="continue"/>
            <w:tcBorders>
              <w:top w:val="nil"/>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3639" w:type="dxa"/>
            <w:gridSpan w:val="3"/>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栏次</w:t>
            </w:r>
          </w:p>
        </w:tc>
        <w:tc>
          <w:tcPr>
            <w:tcW w:w="34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34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3451" w:type="dxa"/>
            <w:tcBorders>
              <w:top w:val="single" w:color="000000" w:sz="4"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r>
      <w:tr>
        <w:trPr>
          <w:trHeight w:val="450" w:hRule="atLeast"/>
        </w:trPr>
        <w:tc>
          <w:tcPr>
            <w:tcW w:w="3639" w:type="dxa"/>
            <w:gridSpan w:val="3"/>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1839.89</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472.57</w:t>
            </w:r>
          </w:p>
        </w:tc>
        <w:tc>
          <w:tcPr>
            <w:tcW w:w="3451"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1367.32</w:t>
            </w:r>
          </w:p>
        </w:tc>
      </w:tr>
      <w:tr>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201</w:t>
            </w:r>
          </w:p>
        </w:tc>
        <w:tc>
          <w:tcPr>
            <w:tcW w:w="2225" w:type="dxa"/>
            <w:tcBorders>
              <w:top w:val="single" w:color="000000" w:sz="4" w:space="0"/>
              <w:left w:val="single" w:color="000000" w:sz="4"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一般公共服务支出</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3451"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20132</w:t>
            </w:r>
          </w:p>
        </w:tc>
        <w:tc>
          <w:tcPr>
            <w:tcW w:w="2225" w:type="dxa"/>
            <w:tcBorders>
              <w:top w:val="single" w:color="000000" w:sz="4" w:space="0"/>
              <w:left w:val="single" w:color="000000" w:sz="4"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组织事务</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3451"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2013299</w:t>
            </w:r>
          </w:p>
        </w:tc>
        <w:tc>
          <w:tcPr>
            <w:tcW w:w="2225" w:type="dxa"/>
            <w:tcBorders>
              <w:top w:val="single" w:color="000000" w:sz="4" w:space="0"/>
              <w:left w:val="single" w:color="000000" w:sz="4"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其他组织事务支出</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25.4</w:t>
            </w:r>
          </w:p>
        </w:tc>
        <w:tc>
          <w:tcPr>
            <w:tcW w:w="3451"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w:t>
            </w:r>
          </w:p>
        </w:tc>
        <w:tc>
          <w:tcPr>
            <w:tcW w:w="2225" w:type="dxa"/>
            <w:tcBorders>
              <w:top w:val="single" w:color="000000" w:sz="4" w:space="0"/>
              <w:left w:val="single" w:color="000000" w:sz="4"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社会保障和就业支出</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3451"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w:t>
            </w:r>
          </w:p>
        </w:tc>
        <w:tc>
          <w:tcPr>
            <w:tcW w:w="2225" w:type="dxa"/>
            <w:tcBorders>
              <w:top w:val="single" w:color="000000" w:sz="4" w:space="0"/>
              <w:left w:val="single" w:color="000000" w:sz="4" w:space="0"/>
              <w:bottom w:val="single" w:color="000000" w:sz="4"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行政事业单位离退休</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3449" w:type="dxa"/>
            <w:tcBorders>
              <w:top w:val="single" w:color="000000" w:sz="4" w:space="0"/>
              <w:left w:val="single" w:color="000000" w:sz="4" w:space="0"/>
              <w:bottom w:val="single" w:color="000000" w:sz="4"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49.59</w:t>
            </w:r>
          </w:p>
        </w:tc>
        <w:tc>
          <w:tcPr>
            <w:tcW w:w="3451" w:type="dxa"/>
            <w:tcBorders>
              <w:top w:val="single" w:color="000000" w:sz="4" w:space="0"/>
              <w:left w:val="single" w:color="000000" w:sz="4" w:space="0"/>
              <w:bottom w:val="single" w:color="000000" w:sz="4"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归口管理的行政单位离退休</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9.7</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9.7</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2080505</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机关事业单位基本养老保险缴费支出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26.67</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26.67</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2080506</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机关事业单位职业年金缴费支出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12.22</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12.22</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卫生健康支出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21011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行政事业单位医疗</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2101101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行政单位医疗</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13.48</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节能环保支出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21104</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自然生态保护</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2110402</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农村环境保护</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255</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农林水支出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1475.75</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363.44</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1112.32</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农业</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1441.59</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363.44</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1078.15</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行政运行</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333.51</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333.51</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2130102</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一般行政管理事务</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3.87</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3.87</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2130108</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病虫害控制</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57.13</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57.13</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2130109</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农产品质量安全</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6.39</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6.39</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2130122</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农业生产支持补贴</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762.01</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762.01</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2130125</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农产品加工与促销</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2130135</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农业资源保护修复与利用</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236.75</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236.75</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2130199</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其他农业支出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29.93</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29.93</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21308</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普惠金融发展支出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2130803</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农业保险保费补贴</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34.16</w:t>
            </w: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住房保障支出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22102</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住房改革支出</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414" w:type="dxa"/>
            <w:gridSpan w:val="2"/>
            <w:tcBorders>
              <w:top w:val="single" w:color="000000" w:sz="4" w:space="0"/>
              <w:left w:val="single" w:color="000000" w:sz="8"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21"/>
                <w:szCs w:val="22"/>
                <w:lang w:val="en-US" w:eastAsia="zh-CN" w:bidi="ar-SA"/>
              </w:rPr>
              <w:t>2210201</w:t>
            </w:r>
          </w:p>
        </w:tc>
        <w:tc>
          <w:tcPr>
            <w:tcW w:w="2225" w:type="dxa"/>
            <w:tcBorders>
              <w:top w:val="single" w:color="000000" w:sz="4" w:space="0"/>
              <w:left w:val="single" w:color="000000" w:sz="4" w:space="0"/>
              <w:bottom w:val="single" w:color="000000" w:sz="8" w:space="0"/>
              <w:right w:val="single" w:color="000000" w:sz="4" w:space="0"/>
            </w:tcBorders>
            <w:vAlign w:val="center"/>
          </w:tcPr>
          <w:p>
            <w:pPr>
              <w:jc w:val="left"/>
              <w:textAlignment w:val="baseline"/>
              <w:rPr>
                <w:rStyle w:val="11"/>
                <w:rFonts w:ascii="宋体" w:hAnsi="宋体" w:eastAsia="宋体"/>
                <w:i w:val="0"/>
                <w:color w:val="000000"/>
                <w:kern w:val="2"/>
                <w:sz w:val="20"/>
                <w:szCs w:val="20"/>
                <w:lang w:val="en-US" w:eastAsia="zh-CN" w:bidi="ar-SA"/>
              </w:rPr>
            </w:pPr>
            <w:r>
              <w:rPr>
                <w:rStyle w:val="11"/>
                <w:kern w:val="2"/>
                <w:sz w:val="18"/>
                <w:szCs w:val="18"/>
                <w:lang w:val="en-US" w:eastAsia="zh-CN" w:bidi="ar-SA"/>
              </w:rPr>
              <w:t xml:space="preserve">  住房公积金</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3449" w:type="dxa"/>
            <w:tcBorders>
              <w:top w:val="single" w:color="000000" w:sz="4" w:space="0"/>
              <w:left w:val="single" w:color="000000" w:sz="4" w:space="0"/>
              <w:bottom w:val="single" w:color="000000" w:sz="8" w:space="0"/>
              <w:right w:val="single" w:color="000000" w:sz="4" w:space="0"/>
            </w:tcBorders>
            <w:vAlign w:val="center"/>
          </w:tcPr>
          <w:p>
            <w:pPr>
              <w:jc w:val="right"/>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20.67</w:t>
            </w:r>
          </w:p>
        </w:tc>
        <w:tc>
          <w:tcPr>
            <w:tcW w:w="3451" w:type="dxa"/>
            <w:tcBorders>
              <w:top w:val="single" w:color="000000" w:sz="4" w:space="0"/>
              <w:left w:val="single" w:color="000000" w:sz="4" w:space="0"/>
              <w:bottom w:val="single" w:color="000000" w:sz="8" w:space="0"/>
              <w:right w:val="single" w:color="000000" w:sz="8" w:space="0"/>
            </w:tcBorders>
            <w:vAlign w:val="center"/>
          </w:tcPr>
          <w:p>
            <w:pPr>
              <w:jc w:val="right"/>
              <w:textAlignment w:val="baseline"/>
              <w:rPr>
                <w:rStyle w:val="11"/>
                <w:rFonts w:ascii="宋体" w:hAnsi="宋体" w:eastAsia="宋体"/>
                <w:i w:val="0"/>
                <w:color w:val="000000"/>
                <w:kern w:val="2"/>
                <w:sz w:val="20"/>
                <w:szCs w:val="20"/>
                <w:lang w:val="en-US" w:eastAsia="zh-CN" w:bidi="ar-SA"/>
              </w:rPr>
            </w:pPr>
          </w:p>
        </w:tc>
      </w:tr>
      <w:tr>
        <w:trPr>
          <w:trHeight w:val="645" w:hRule="atLeast"/>
        </w:trPr>
        <w:tc>
          <w:tcPr>
            <w:tcW w:w="13988" w:type="dxa"/>
            <w:gridSpan w:val="6"/>
            <w:tcBorders>
              <w:top w:val="nil"/>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注：本表反映部门本年度一般公共预算财政拨款支出情况。本表金额转换为万元时，因四舍五入可能存在尾差。</w:t>
            </w:r>
          </w:p>
        </w:tc>
      </w:tr>
    </w:tbl>
    <w:p>
      <w:pPr>
        <w:jc w:val="both"/>
        <w:textAlignment w:val="baseline"/>
        <w:sectPr>
          <w:pgSz w:w="16838" w:h="11906"/>
          <w:pgMar w:top="1800" w:right="1440" w:bottom="1800" w:left="1440" w:header="720" w:footer="720" w:gutter="0"/>
          <w:lnNumType w:countBy="0"/>
          <w:cols w:space="720" w:num="1"/>
          <w:docGrid w:type="lines" w:linePitch="312"/>
        </w:sectPr>
      </w:pPr>
    </w:p>
    <w:tbl>
      <w:tblPr>
        <w:tblW w:w="139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70"/>
        <w:gridCol w:w="2923"/>
        <w:gridCol w:w="938"/>
        <w:gridCol w:w="870"/>
        <w:gridCol w:w="2066"/>
        <w:gridCol w:w="938"/>
        <w:gridCol w:w="870"/>
        <w:gridCol w:w="3575"/>
        <w:gridCol w:w="938"/>
      </w:tblGrid>
      <w:tr>
        <w:trPr>
          <w:trHeight w:val="435" w:hRule="atLeast"/>
        </w:trPr>
        <w:tc>
          <w:tcPr>
            <w:tcW w:w="13988" w:type="dxa"/>
            <w:gridSpan w:val="9"/>
            <w:tcBorders>
              <w:top w:val="nil"/>
              <w:left w:val="nil"/>
              <w:bottom w:val="nil"/>
              <w:right w:val="nil"/>
            </w:tcBorders>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一般公共预算财政拨款基本支出决算表</w:t>
            </w:r>
          </w:p>
        </w:tc>
      </w:tr>
      <w:tr>
        <w:trPr>
          <w:trHeight w:val="405" w:hRule="atLeast"/>
        </w:trPr>
        <w:tc>
          <w:tcPr>
            <w:tcW w:w="870"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2923"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938"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870"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066"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3575"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公开06表</w:t>
            </w:r>
          </w:p>
        </w:tc>
      </w:tr>
      <w:tr>
        <w:trPr>
          <w:trHeight w:val="300" w:hRule="atLeast"/>
        </w:trPr>
        <w:tc>
          <w:tcPr>
            <w:tcW w:w="870" w:type="dxa"/>
            <w:tcBorders>
              <w:top w:val="nil"/>
              <w:left w:val="nil"/>
              <w:bottom w:val="nil"/>
              <w:right w:val="nil"/>
            </w:tcBorders>
            <w:vAlign w:val="center"/>
          </w:tcPr>
          <w:p>
            <w:pPr>
              <w:widowControl/>
              <w:jc w:val="left"/>
              <w:textAlignment w:val="center"/>
              <w:rPr>
                <w:rStyle w:val="11"/>
                <w:rFonts w:ascii="Arial" w:hAnsi="Arial" w:eastAsia="宋体"/>
                <w:i w:val="0"/>
                <w:color w:val="000000"/>
                <w:kern w:val="2"/>
                <w:sz w:val="20"/>
                <w:szCs w:val="20"/>
                <w:lang w:val="en-US" w:eastAsia="zh-CN" w:bidi="ar-SA"/>
              </w:rPr>
            </w:pPr>
            <w:r>
              <w:rPr>
                <w:rStyle w:val="11"/>
                <w:rFonts w:ascii="Arial" w:hAnsi="Arial" w:eastAsia="宋体"/>
                <w:i w:val="0"/>
                <w:color w:val="000000"/>
                <w:kern w:val="0"/>
                <w:sz w:val="20"/>
                <w:szCs w:val="20"/>
                <w:lang w:val="en-US" w:eastAsia="zh-CN"/>
              </w:rPr>
              <w:t>部门：</w:t>
            </w:r>
          </w:p>
        </w:tc>
        <w:tc>
          <w:tcPr>
            <w:tcW w:w="2923"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938"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870"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2066"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938"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870"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3575" w:type="dxa"/>
            <w:tcBorders>
              <w:top w:val="nil"/>
              <w:left w:val="nil"/>
              <w:bottom w:val="nil"/>
              <w:right w:val="nil"/>
            </w:tcBorders>
            <w:vAlign w:val="center"/>
          </w:tcPr>
          <w:p>
            <w:pPr>
              <w:jc w:val="both"/>
              <w:textAlignment w:val="baseline"/>
              <w:rPr>
                <w:rStyle w:val="11"/>
                <w:rFonts w:ascii="Arial" w:hAnsi="Arial" w:eastAsia="宋体"/>
                <w:i w:val="0"/>
                <w:color w:val="000000"/>
                <w:kern w:val="2"/>
                <w:sz w:val="20"/>
                <w:szCs w:val="20"/>
                <w:lang w:val="en-US" w:eastAsia="zh-CN" w:bidi="ar-SA"/>
              </w:rPr>
            </w:pPr>
          </w:p>
        </w:tc>
        <w:tc>
          <w:tcPr>
            <w:tcW w:w="938" w:type="dxa"/>
            <w:tcBorders>
              <w:top w:val="nil"/>
              <w:left w:val="nil"/>
              <w:bottom w:val="nil"/>
              <w:right w:val="nil"/>
            </w:tcBorders>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615" w:hRule="atLeast"/>
        </w:trPr>
        <w:tc>
          <w:tcPr>
            <w:tcW w:w="870" w:type="dxa"/>
            <w:tcBorders>
              <w:top w:val="single" w:color="000000" w:sz="8"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经济分类科目编码</w:t>
            </w:r>
          </w:p>
        </w:tc>
        <w:tc>
          <w:tcPr>
            <w:tcW w:w="2923" w:type="dxa"/>
            <w:tcBorders>
              <w:top w:val="single" w:color="000000" w:sz="8"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938" w:type="dxa"/>
            <w:tcBorders>
              <w:top w:val="single" w:color="000000" w:sz="8"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决算数</w:t>
            </w:r>
          </w:p>
        </w:tc>
        <w:tc>
          <w:tcPr>
            <w:tcW w:w="870" w:type="dxa"/>
            <w:tcBorders>
              <w:top w:val="single" w:color="000000" w:sz="8"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经济分类科目编码</w:t>
            </w:r>
          </w:p>
        </w:tc>
        <w:tc>
          <w:tcPr>
            <w:tcW w:w="2066" w:type="dxa"/>
            <w:tcBorders>
              <w:top w:val="single" w:color="000000" w:sz="8"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938" w:type="dxa"/>
            <w:tcBorders>
              <w:top w:val="single" w:color="000000" w:sz="8"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决算数</w:t>
            </w:r>
          </w:p>
        </w:tc>
        <w:tc>
          <w:tcPr>
            <w:tcW w:w="870" w:type="dxa"/>
            <w:tcBorders>
              <w:top w:val="single" w:color="000000" w:sz="8"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经济分类科目编码</w:t>
            </w:r>
          </w:p>
        </w:tc>
        <w:tc>
          <w:tcPr>
            <w:tcW w:w="3575" w:type="dxa"/>
            <w:tcBorders>
              <w:top w:val="single" w:color="000000" w:sz="8"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938" w:type="dxa"/>
            <w:tcBorders>
              <w:top w:val="single" w:color="000000" w:sz="8"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决算数</w:t>
            </w: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工资福利支出</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368.9</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商品和服务支出</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40.44</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资本性支出</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2.85</w:t>
            </w: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30101</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基本工资</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107.2</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30201</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办公费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12.7</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31001</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房屋建筑物购建</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30102</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津贴补贴</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47.77</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30202</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印刷费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3.88</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31002</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办公设备购置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2.85</w:t>
            </w: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30103</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奖金</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50.87</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30203</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咨询费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31003</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专用设备购置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30106</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伙食补助费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30204</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手续费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31005</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基础设施建设</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30107</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绩效工资</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30.8</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30205</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水费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31006</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大型修缮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30108</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机关事业单位基本养老保险费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57.39</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30206</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电费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0.92</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31007</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信息网络及软件购置更新</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30109</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职业年金缴费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19.09</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30207</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邮电费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0.35</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31008</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物资储备</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30110</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职工基本医疗保险缴费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14.15</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30208</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取暖费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31009</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土地补偿</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30111</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公务员医疗补助缴费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16.73</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30209</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物业管理费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31010</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安置补助</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30112</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其他社会保障缴费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0.94</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30211</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差旅费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3.24</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31011</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地上附着物和青苗补偿</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30113</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住房公积金</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23.96</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30212</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因公出国（境）费用</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31012</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拆迁补偿</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30114</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医疗费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30213</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维修（护）费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31013</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公务用车购置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30199</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其他工资福利支出</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30214</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租赁费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31019</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其他交通工具购置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对个人和家庭的补助</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60.38</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30215</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会议费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31021</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文物和陈列品购置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30301</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离休费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30216</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培训费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0.52</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31022</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无形资产购置</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30302</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退休费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30217</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公务招待费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31099</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其他资本性支出</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30303</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退职（役）费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30218</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专用材料费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312</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对企业补助</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30304</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抚恤金</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30224</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被装购置费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31201</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资本金注入</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30305</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生活补助</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51.34</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30225</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专用燃料费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31203</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政府投资基金股权投资</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30306</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救济费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30226</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劳务费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3.86</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31204</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费用补贴</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30307</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医疗费补助</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30227</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委托业务费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31205</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利息补贴</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30308</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助学金</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30228</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工会经费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31299</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其他对企业补助</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30309</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奖励金</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30229</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福利费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4.41</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313</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对社会保障基金补助</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30310</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个人农业生产补贴</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5.28</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30231</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公务用车运行维护费</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1.39</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31302</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对社会保险基金补助</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30399</w:t>
            </w:r>
          </w:p>
        </w:tc>
        <w:tc>
          <w:tcPr>
            <w:tcW w:w="292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对其他个人和家庭的补助支出</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3.76</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30239</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其他交通费用</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0.75</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31303</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补充全国社会保障基金</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30240</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税金及附加费用</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399</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其他支出</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30299</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其他商品和服务支出</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8.42</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39906</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赠与</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307</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债务利息及费用支出</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39907</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国家赔偿费用支出</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30701</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国内债务付息</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39908</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对民间非营利组织和群众性自治组织补贴</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30702</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国外债务付息</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39999</w:t>
            </w:r>
          </w:p>
        </w:tc>
        <w:tc>
          <w:tcPr>
            <w:tcW w:w="357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其他支出</w:t>
            </w: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870" w:type="dxa"/>
            <w:tcBorders>
              <w:top w:val="single" w:color="000000" w:sz="4" w:space="0"/>
              <w:left w:val="single" w:color="000000" w:sz="8"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30703</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国内债务发行费用</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3575"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3793" w:type="dxa"/>
            <w:gridSpan w:val="2"/>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30704</w:t>
            </w:r>
          </w:p>
        </w:tc>
        <w:tc>
          <w:tcPr>
            <w:tcW w:w="206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 xml:space="preserve">  国外债务发行费用</w:t>
            </w:r>
          </w:p>
        </w:tc>
        <w:tc>
          <w:tcPr>
            <w:tcW w:w="938"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870"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18"/>
                <w:szCs w:val="18"/>
                <w:lang w:val="en-US" w:eastAsia="zh-CN" w:bidi="ar-SA"/>
              </w:rPr>
            </w:pPr>
          </w:p>
        </w:tc>
        <w:tc>
          <w:tcPr>
            <w:tcW w:w="3575"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18"/>
                <w:szCs w:val="18"/>
                <w:lang w:val="en-US" w:eastAsia="zh-CN" w:bidi="ar-SA"/>
              </w:rPr>
            </w:pPr>
          </w:p>
        </w:tc>
        <w:tc>
          <w:tcPr>
            <w:tcW w:w="938"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252" w:hRule="atLeast"/>
        </w:trPr>
        <w:tc>
          <w:tcPr>
            <w:tcW w:w="3793" w:type="dxa"/>
            <w:gridSpan w:val="2"/>
            <w:tcBorders>
              <w:top w:val="single" w:color="000000" w:sz="4" w:space="0"/>
              <w:left w:val="single" w:color="000000" w:sz="8" w:space="0"/>
              <w:bottom w:val="single" w:color="000000" w:sz="8"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人员经费合计</w:t>
            </w:r>
          </w:p>
        </w:tc>
        <w:tc>
          <w:tcPr>
            <w:tcW w:w="938"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429.28</w:t>
            </w:r>
          </w:p>
        </w:tc>
        <w:tc>
          <w:tcPr>
            <w:tcW w:w="8319" w:type="dxa"/>
            <w:gridSpan w:val="5"/>
            <w:tcBorders>
              <w:top w:val="single" w:color="000000" w:sz="4" w:space="0"/>
              <w:left w:val="single" w:color="000000" w:sz="4" w:space="0"/>
              <w:bottom w:val="single" w:color="000000" w:sz="8"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公用经费合计</w:t>
            </w:r>
          </w:p>
        </w:tc>
        <w:tc>
          <w:tcPr>
            <w:tcW w:w="938" w:type="dxa"/>
            <w:tcBorders>
              <w:top w:val="single" w:color="000000" w:sz="4" w:space="0"/>
              <w:left w:val="single" w:color="000000" w:sz="4" w:space="0"/>
              <w:bottom w:val="single" w:color="000000" w:sz="8"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43.29</w:t>
            </w:r>
          </w:p>
        </w:tc>
      </w:tr>
      <w:tr>
        <w:trPr>
          <w:trHeight w:val="390" w:hRule="atLeast"/>
        </w:trPr>
        <w:tc>
          <w:tcPr>
            <w:tcW w:w="13988" w:type="dxa"/>
            <w:gridSpan w:val="9"/>
            <w:tcBorders>
              <w:top w:val="nil"/>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注：本表反映部门本年度一般公共预算财政拨款基本支出明细情况。本表金额转换为万元时，因四舍五入可能存在尾差。</w:t>
            </w:r>
          </w:p>
        </w:tc>
      </w:tr>
    </w:tbl>
    <w:p>
      <w:pPr>
        <w:jc w:val="both"/>
        <w:textAlignment w:val="baseline"/>
        <w:sectPr>
          <w:pgSz w:w="16838" w:h="11906"/>
          <w:pgMar w:top="1800" w:right="1440" w:bottom="1800" w:left="1440" w:header="720" w:footer="720" w:gutter="0"/>
          <w:lnNumType w:countBy="0"/>
          <w:cols w:space="720" w:num="1"/>
          <w:docGrid w:type="lines" w:linePitch="312"/>
        </w:sectPr>
      </w:pPr>
    </w:p>
    <w:tbl>
      <w:tblPr>
        <w:tblW w:w="13807"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51"/>
        <w:gridCol w:w="1149"/>
        <w:gridCol w:w="1150"/>
        <w:gridCol w:w="1150"/>
        <w:gridCol w:w="1151"/>
        <w:gridCol w:w="1150"/>
        <w:gridCol w:w="1151"/>
        <w:gridCol w:w="1151"/>
        <w:gridCol w:w="1151"/>
        <w:gridCol w:w="1151"/>
        <w:gridCol w:w="1151"/>
        <w:gridCol w:w="1151"/>
      </w:tblGrid>
      <w:tr>
        <w:trPr>
          <w:trHeight w:val="600" w:hRule="atLeast"/>
        </w:trPr>
        <w:tc>
          <w:tcPr>
            <w:tcW w:w="13807" w:type="dxa"/>
            <w:gridSpan w:val="12"/>
            <w:tcBorders>
              <w:top w:val="nil"/>
              <w:left w:val="nil"/>
              <w:bottom w:val="nil"/>
              <w:right w:val="nil"/>
            </w:tcBorders>
            <w:shd w:val="clear" w:color="auto" w:fill="FFFFFF"/>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一般公共预算财政拨款“三公”经费支出决算表</w:t>
            </w:r>
          </w:p>
        </w:tc>
      </w:tr>
      <w:tr>
        <w:trPr>
          <w:trHeight w:val="222" w:hRule="atLeast"/>
        </w:trPr>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49"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公开07表</w:t>
            </w:r>
          </w:p>
        </w:tc>
      </w:tr>
      <w:tr>
        <w:trPr>
          <w:trHeight w:val="300" w:hRule="atLeast"/>
        </w:trPr>
        <w:tc>
          <w:tcPr>
            <w:tcW w:w="1151"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1149"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559" w:hRule="atLeast"/>
        </w:trPr>
        <w:tc>
          <w:tcPr>
            <w:tcW w:w="6901" w:type="dxa"/>
            <w:gridSpan w:val="6"/>
            <w:tcBorders>
              <w:top w:val="single" w:color="000000" w:sz="8"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预算数</w:t>
            </w:r>
          </w:p>
        </w:tc>
        <w:tc>
          <w:tcPr>
            <w:tcW w:w="6906" w:type="dxa"/>
            <w:gridSpan w:val="6"/>
            <w:tcBorders>
              <w:top w:val="single" w:color="000000" w:sz="8"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决算数</w:t>
            </w:r>
          </w:p>
        </w:tc>
      </w:tr>
      <w:tr>
        <w:trPr>
          <w:trHeight w:val="600" w:hRule="atLeast"/>
        </w:trPr>
        <w:tc>
          <w:tcPr>
            <w:tcW w:w="1151" w:type="dxa"/>
            <w:vMerge w:val="restart"/>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114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因公出国（境）费</w:t>
            </w:r>
          </w:p>
        </w:tc>
        <w:tc>
          <w:tcPr>
            <w:tcW w:w="3451"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公务用车购置及运行费</w:t>
            </w:r>
          </w:p>
        </w:tc>
        <w:tc>
          <w:tcPr>
            <w:tcW w:w="11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公务接待费</w:t>
            </w:r>
          </w:p>
        </w:tc>
        <w:tc>
          <w:tcPr>
            <w:tcW w:w="1151" w:type="dxa"/>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115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因公出国（境）费</w:t>
            </w:r>
          </w:p>
        </w:tc>
        <w:tc>
          <w:tcPr>
            <w:tcW w:w="34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公务用车购置及运行费</w:t>
            </w:r>
          </w:p>
        </w:tc>
        <w:tc>
          <w:tcPr>
            <w:tcW w:w="1151" w:type="dxa"/>
            <w:vMerge w:val="restart"/>
            <w:tcBorders>
              <w:top w:val="single" w:color="000000" w:sz="4"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公务接待费</w:t>
            </w:r>
          </w:p>
        </w:tc>
      </w:tr>
      <w:tr>
        <w:trPr>
          <w:trHeight w:val="600" w:hRule="atLeast"/>
        </w:trPr>
        <w:tc>
          <w:tcPr>
            <w:tcW w:w="1151" w:type="dxa"/>
            <w:vMerge w:val="continue"/>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149"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150" w:type="dxa"/>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小计</w:t>
            </w:r>
          </w:p>
        </w:tc>
        <w:tc>
          <w:tcPr>
            <w:tcW w:w="1150" w:type="dxa"/>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公务用车</w:t>
            </w:r>
            <w:r>
              <w:rPr>
                <w:rStyle w:val="11"/>
                <w:rFonts w:ascii="宋体" w:hAnsi="宋体" w:eastAsia="宋体"/>
                <w:i w:val="0"/>
                <w:color w:val="000000"/>
                <w:kern w:val="0"/>
                <w:sz w:val="20"/>
                <w:szCs w:val="20"/>
                <w:lang w:val="en-US" w:eastAsia="zh-CN"/>
              </w:rPr>
              <w:br w:clear="all"/>
            </w:r>
            <w:r>
              <w:rPr>
                <w:rStyle w:val="11"/>
                <w:rFonts w:ascii="宋体" w:hAnsi="宋体" w:eastAsia="宋体"/>
                <w:i w:val="0"/>
                <w:color w:val="000000"/>
                <w:kern w:val="0"/>
                <w:sz w:val="20"/>
                <w:szCs w:val="20"/>
                <w:lang w:val="en-US" w:eastAsia="zh-CN"/>
              </w:rPr>
              <w:t>购置费</w:t>
            </w:r>
          </w:p>
        </w:tc>
        <w:tc>
          <w:tcPr>
            <w:tcW w:w="1151" w:type="dxa"/>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公务用车</w:t>
            </w:r>
            <w:r>
              <w:rPr>
                <w:rStyle w:val="11"/>
                <w:rFonts w:ascii="宋体" w:hAnsi="宋体" w:eastAsia="宋体"/>
                <w:i w:val="0"/>
                <w:color w:val="000000"/>
                <w:kern w:val="0"/>
                <w:sz w:val="20"/>
                <w:szCs w:val="20"/>
                <w:lang w:val="en-US" w:eastAsia="zh-CN"/>
              </w:rPr>
              <w:br w:clear="all"/>
            </w:r>
            <w:r>
              <w:rPr>
                <w:rStyle w:val="11"/>
                <w:rFonts w:ascii="宋体" w:hAnsi="宋体" w:eastAsia="宋体"/>
                <w:i w:val="0"/>
                <w:color w:val="000000"/>
                <w:kern w:val="0"/>
                <w:sz w:val="20"/>
                <w:szCs w:val="20"/>
                <w:lang w:val="en-US" w:eastAsia="zh-CN"/>
              </w:rPr>
              <w:t>运行费</w:t>
            </w:r>
          </w:p>
        </w:tc>
        <w:tc>
          <w:tcPr>
            <w:tcW w:w="1150"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151" w:type="dxa"/>
            <w:vMerge w:val="continue"/>
            <w:tcBorders>
              <w:top w:val="single" w:color="000000" w:sz="4" w:space="0"/>
              <w:left w:val="nil"/>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151"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151" w:type="dxa"/>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小计</w:t>
            </w:r>
          </w:p>
        </w:tc>
        <w:tc>
          <w:tcPr>
            <w:tcW w:w="1151" w:type="dxa"/>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公务用车</w:t>
            </w:r>
            <w:r>
              <w:rPr>
                <w:rStyle w:val="11"/>
                <w:rFonts w:ascii="宋体" w:hAnsi="宋体" w:eastAsia="宋体"/>
                <w:i w:val="0"/>
                <w:color w:val="000000"/>
                <w:kern w:val="0"/>
                <w:sz w:val="20"/>
                <w:szCs w:val="20"/>
                <w:lang w:val="en-US" w:eastAsia="zh-CN"/>
              </w:rPr>
              <w:br w:clear="all"/>
            </w:r>
            <w:r>
              <w:rPr>
                <w:rStyle w:val="11"/>
                <w:rFonts w:ascii="宋体" w:hAnsi="宋体" w:eastAsia="宋体"/>
                <w:i w:val="0"/>
                <w:color w:val="000000"/>
                <w:kern w:val="0"/>
                <w:sz w:val="20"/>
                <w:szCs w:val="20"/>
                <w:lang w:val="en-US" w:eastAsia="zh-CN"/>
              </w:rPr>
              <w:t>购置费</w:t>
            </w:r>
          </w:p>
        </w:tc>
        <w:tc>
          <w:tcPr>
            <w:tcW w:w="1151" w:type="dxa"/>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公务用车</w:t>
            </w:r>
            <w:r>
              <w:rPr>
                <w:rStyle w:val="11"/>
                <w:rFonts w:ascii="宋体" w:hAnsi="宋体" w:eastAsia="宋体"/>
                <w:i w:val="0"/>
                <w:color w:val="000000"/>
                <w:kern w:val="0"/>
                <w:sz w:val="20"/>
                <w:szCs w:val="20"/>
                <w:lang w:val="en-US" w:eastAsia="zh-CN"/>
              </w:rPr>
              <w:br w:clear="all"/>
            </w:r>
            <w:r>
              <w:rPr>
                <w:rStyle w:val="11"/>
                <w:rFonts w:ascii="宋体" w:hAnsi="宋体" w:eastAsia="宋体"/>
                <w:i w:val="0"/>
                <w:color w:val="000000"/>
                <w:kern w:val="0"/>
                <w:sz w:val="20"/>
                <w:szCs w:val="20"/>
                <w:lang w:val="en-US" w:eastAsia="zh-CN"/>
              </w:rPr>
              <w:t>运行费</w:t>
            </w:r>
          </w:p>
        </w:tc>
        <w:tc>
          <w:tcPr>
            <w:tcW w:w="1151" w:type="dxa"/>
            <w:vMerge w:val="continue"/>
            <w:tcBorders>
              <w:top w:val="single" w:color="000000" w:sz="4" w:space="0"/>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559" w:hRule="atLeast"/>
        </w:trPr>
        <w:tc>
          <w:tcPr>
            <w:tcW w:w="1151" w:type="dxa"/>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11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1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1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c>
          <w:tcPr>
            <w:tcW w:w="11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5</w:t>
            </w:r>
          </w:p>
        </w:tc>
        <w:tc>
          <w:tcPr>
            <w:tcW w:w="11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6</w:t>
            </w:r>
          </w:p>
        </w:tc>
        <w:tc>
          <w:tcPr>
            <w:tcW w:w="11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7</w:t>
            </w:r>
          </w:p>
        </w:tc>
        <w:tc>
          <w:tcPr>
            <w:tcW w:w="11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8</w:t>
            </w:r>
          </w:p>
        </w:tc>
        <w:tc>
          <w:tcPr>
            <w:tcW w:w="11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9</w:t>
            </w:r>
          </w:p>
        </w:tc>
        <w:tc>
          <w:tcPr>
            <w:tcW w:w="11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10</w:t>
            </w:r>
          </w:p>
        </w:tc>
        <w:tc>
          <w:tcPr>
            <w:tcW w:w="11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11</w:t>
            </w:r>
          </w:p>
        </w:tc>
        <w:tc>
          <w:tcPr>
            <w:tcW w:w="1151" w:type="dxa"/>
            <w:tcBorders>
              <w:top w:val="single" w:color="000000" w:sz="4"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12</w:t>
            </w:r>
          </w:p>
        </w:tc>
      </w:tr>
      <w:tr>
        <w:trPr>
          <w:trHeight w:val="855" w:hRule="atLeast"/>
        </w:trPr>
        <w:tc>
          <w:tcPr>
            <w:tcW w:w="1151" w:type="dxa"/>
            <w:tcBorders>
              <w:top w:val="single" w:color="000000" w:sz="4" w:space="0"/>
              <w:left w:val="single" w:color="000000" w:sz="8"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6.5</w:t>
            </w:r>
          </w:p>
        </w:tc>
        <w:tc>
          <w:tcPr>
            <w:tcW w:w="1149"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w:t>
            </w:r>
          </w:p>
        </w:tc>
        <w:tc>
          <w:tcPr>
            <w:tcW w:w="1150"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6.5</w:t>
            </w:r>
          </w:p>
        </w:tc>
        <w:tc>
          <w:tcPr>
            <w:tcW w:w="1150"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w:t>
            </w:r>
          </w:p>
        </w:tc>
        <w:tc>
          <w:tcPr>
            <w:tcW w:w="1151"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6</w:t>
            </w:r>
          </w:p>
        </w:tc>
        <w:tc>
          <w:tcPr>
            <w:tcW w:w="1150"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0.5</w:t>
            </w:r>
          </w:p>
        </w:tc>
        <w:tc>
          <w:tcPr>
            <w:tcW w:w="1151"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1.39</w:t>
            </w:r>
          </w:p>
        </w:tc>
        <w:tc>
          <w:tcPr>
            <w:tcW w:w="1151"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w:t>
            </w:r>
          </w:p>
        </w:tc>
        <w:tc>
          <w:tcPr>
            <w:tcW w:w="1151"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1.39</w:t>
            </w:r>
          </w:p>
        </w:tc>
        <w:tc>
          <w:tcPr>
            <w:tcW w:w="1151"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w:t>
            </w:r>
          </w:p>
        </w:tc>
        <w:tc>
          <w:tcPr>
            <w:tcW w:w="1151" w:type="dxa"/>
            <w:tcBorders>
              <w:top w:val="single" w:color="000000" w:sz="4" w:space="0"/>
              <w:left w:val="single" w:color="000000" w:sz="4" w:space="0"/>
              <w:bottom w:val="single" w:color="000000" w:sz="8"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1.39</w:t>
            </w:r>
          </w:p>
        </w:tc>
        <w:tc>
          <w:tcPr>
            <w:tcW w:w="1151" w:type="dxa"/>
            <w:tcBorders>
              <w:top w:val="single" w:color="000000" w:sz="4" w:space="0"/>
              <w:left w:val="single" w:color="000000" w:sz="4" w:space="0"/>
              <w:bottom w:val="single" w:color="000000" w:sz="8"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2"/>
                <w:sz w:val="20"/>
                <w:szCs w:val="20"/>
                <w:lang w:val="en-US" w:eastAsia="zh-CN" w:bidi="ar-SA"/>
              </w:rPr>
              <w:t>0</w:t>
            </w:r>
          </w:p>
        </w:tc>
      </w:tr>
      <w:tr>
        <w:trPr>
          <w:trHeight w:val="900" w:hRule="atLeast"/>
        </w:trPr>
        <w:tc>
          <w:tcPr>
            <w:tcW w:w="13807" w:type="dxa"/>
            <w:gridSpan w:val="12"/>
            <w:tcBorders>
              <w:top w:val="single" w:color="000000" w:sz="8" w:space="0"/>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注：本表反映部门本年度“三公”经费支出预决算情况。其中，</w:t>
            </w:r>
            <w:r>
              <w:rPr>
                <w:rStyle w:val="19"/>
                <w:rFonts w:ascii="宋体" w:hAnsi="宋体" w:eastAsia="宋体"/>
                <w:i w:val="0"/>
                <w:color w:val="000000"/>
                <w:kern w:val="2"/>
                <w:sz w:val="20"/>
                <w:szCs w:val="20"/>
                <w:lang w:val="en-US" w:eastAsia="zh-CN"/>
              </w:rPr>
              <w:t>预算数为“三公”经费年初预算数，决算数是包括当年一般公共预算财政拨款和以前年度结转资金安排的实际支出。</w:t>
            </w:r>
            <w:r>
              <w:rPr>
                <w:rStyle w:val="11"/>
                <w:rFonts w:ascii="宋体" w:hAnsi="宋体" w:eastAsia="宋体"/>
                <w:i w:val="0"/>
                <w:color w:val="000000"/>
                <w:kern w:val="0"/>
                <w:sz w:val="20"/>
                <w:szCs w:val="20"/>
                <w:lang w:val="en-US" w:eastAsia="zh-CN"/>
              </w:rPr>
              <w:t>本表金额转换为万元时，因四舍五入可能存在尾差。</w:t>
            </w:r>
          </w:p>
        </w:tc>
      </w:tr>
    </w:tbl>
    <w:p>
      <w:pPr>
        <w:jc w:val="both"/>
        <w:textAlignment w:val="baseline"/>
        <w:sectPr>
          <w:pgSz w:w="16838" w:h="11906"/>
          <w:pgMar w:top="2098" w:right="1474" w:bottom="1984" w:left="1587" w:header="720" w:footer="720" w:gutter="0"/>
          <w:lnNumType w:countBy="0"/>
          <w:cols w:space="720" w:num="1"/>
          <w:docGrid w:type="lines" w:linePitch="312"/>
        </w:sectPr>
      </w:pPr>
    </w:p>
    <w:tbl>
      <w:tblPr>
        <w:tblW w:w="1398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12"/>
        <w:gridCol w:w="536"/>
        <w:gridCol w:w="1276"/>
        <w:gridCol w:w="1926"/>
        <w:gridCol w:w="1926"/>
        <w:gridCol w:w="1926"/>
        <w:gridCol w:w="1927"/>
        <w:gridCol w:w="1926"/>
        <w:gridCol w:w="1933"/>
      </w:tblGrid>
      <w:tr>
        <w:trPr>
          <w:trHeight w:val="600" w:hRule="atLeast"/>
        </w:trPr>
        <w:tc>
          <w:tcPr>
            <w:tcW w:w="13988" w:type="dxa"/>
            <w:gridSpan w:val="9"/>
            <w:tcBorders>
              <w:top w:val="nil"/>
              <w:left w:val="nil"/>
              <w:bottom w:val="nil"/>
              <w:right w:val="nil"/>
            </w:tcBorders>
            <w:shd w:val="clear" w:color="auto" w:fill="FFFFFF"/>
            <w:vAlign w:val="center"/>
          </w:tcPr>
          <w:p>
            <w:pPr>
              <w:widowControl/>
              <w:jc w:val="center"/>
              <w:textAlignment w:val="center"/>
              <w:rPr>
                <w:rStyle w:val="11"/>
                <w:rFonts w:ascii="华文中宋" w:hAnsi="华文中宋" w:eastAsia="华文中宋"/>
                <w:i w:val="0"/>
                <w:color w:val="000000"/>
                <w:kern w:val="2"/>
                <w:sz w:val="32"/>
                <w:szCs w:val="32"/>
                <w:lang w:val="en-US" w:eastAsia="zh-CN" w:bidi="ar-SA"/>
              </w:rPr>
            </w:pPr>
            <w:r>
              <w:rPr>
                <w:rStyle w:val="11"/>
                <w:rFonts w:ascii="华文中宋" w:hAnsi="华文中宋" w:eastAsia="华文中宋"/>
                <w:i w:val="0"/>
                <w:color w:val="000000"/>
                <w:kern w:val="0"/>
                <w:sz w:val="32"/>
                <w:szCs w:val="32"/>
                <w:lang w:val="en-US" w:eastAsia="zh-CN"/>
              </w:rPr>
              <w:t>政府性基金预算财政拨款收入支出决算表</w:t>
            </w:r>
          </w:p>
        </w:tc>
      </w:tr>
      <w:tr>
        <w:trPr>
          <w:trHeight w:val="222" w:hRule="atLeast"/>
        </w:trPr>
        <w:tc>
          <w:tcPr>
            <w:tcW w:w="612"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536"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公开08表</w:t>
            </w:r>
          </w:p>
        </w:tc>
      </w:tr>
      <w:tr>
        <w:trPr>
          <w:trHeight w:val="300" w:hRule="atLeast"/>
        </w:trPr>
        <w:tc>
          <w:tcPr>
            <w:tcW w:w="612" w:type="dxa"/>
            <w:tcBorders>
              <w:top w:val="nil"/>
              <w:left w:val="nil"/>
              <w:bottom w:val="nil"/>
              <w:right w:val="nil"/>
            </w:tcBorders>
            <w:shd w:val="clear" w:color="auto" w:fill="FFFFFF"/>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部门：</w:t>
            </w:r>
          </w:p>
        </w:tc>
        <w:tc>
          <w:tcPr>
            <w:tcW w:w="536"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nil"/>
              <w:left w:val="nil"/>
              <w:bottom w:val="nil"/>
              <w:right w:val="nil"/>
            </w:tcBorders>
            <w:shd w:val="clear" w:color="auto" w:fill="FFFFFF"/>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nil"/>
              <w:left w:val="nil"/>
              <w:bottom w:val="single" w:color="000000" w:sz="8" w:space="0"/>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nil"/>
              <w:left w:val="nil"/>
              <w:bottom w:val="nil"/>
              <w:right w:val="nil"/>
            </w:tcBorders>
            <w:shd w:val="clear" w:color="auto" w:fill="FFFFFF"/>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nil"/>
              <w:left w:val="nil"/>
              <w:bottom w:val="nil"/>
              <w:right w:val="nil"/>
            </w:tcBorders>
            <w:shd w:val="clear" w:color="auto" w:fill="FFFFFF"/>
            <w:vAlign w:val="center"/>
          </w:tcPr>
          <w:p>
            <w:pPr>
              <w:widowControl/>
              <w:jc w:val="righ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单位：万元</w:t>
            </w:r>
          </w:p>
        </w:tc>
      </w:tr>
      <w:tr>
        <w:trPr>
          <w:trHeight w:val="405" w:hRule="atLeast"/>
        </w:trPr>
        <w:tc>
          <w:tcPr>
            <w:tcW w:w="2424" w:type="dxa"/>
            <w:gridSpan w:val="3"/>
            <w:tcBorders>
              <w:top w:val="single" w:color="000000" w:sz="8"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    目</w:t>
            </w:r>
          </w:p>
        </w:tc>
        <w:tc>
          <w:tcPr>
            <w:tcW w:w="1926" w:type="dxa"/>
            <w:vMerge w:val="restart"/>
            <w:tcBorders>
              <w:top w:val="single" w:color="000000" w:sz="8" w:space="0"/>
              <w:left w:val="single" w:color="000000" w:sz="4" w:space="0"/>
              <w:bottom w:val="single" w:color="000000" w:sz="4" w:space="0"/>
              <w:right w:val="nil"/>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年初结转和结余</w:t>
            </w:r>
          </w:p>
        </w:tc>
        <w:tc>
          <w:tcPr>
            <w:tcW w:w="1926" w:type="dxa"/>
            <w:vMerge w:val="restart"/>
            <w:tcBorders>
              <w:top w:val="single" w:color="000000" w:sz="8"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本年收入</w:t>
            </w:r>
          </w:p>
        </w:tc>
        <w:tc>
          <w:tcPr>
            <w:tcW w:w="5779" w:type="dxa"/>
            <w:gridSpan w:val="3"/>
            <w:tcBorders>
              <w:top w:val="single" w:color="000000" w:sz="8" w:space="0"/>
              <w:left w:val="single" w:color="000000" w:sz="4" w:space="0"/>
              <w:bottom w:val="single" w:color="000000" w:sz="4" w:space="0"/>
              <w:right w:val="nil"/>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本年支出</w:t>
            </w:r>
          </w:p>
        </w:tc>
        <w:tc>
          <w:tcPr>
            <w:tcW w:w="1933" w:type="dxa"/>
            <w:vMerge w:val="restart"/>
            <w:tcBorders>
              <w:top w:val="single" w:color="000000" w:sz="8"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年末结转和结余</w:t>
            </w:r>
          </w:p>
        </w:tc>
      </w:tr>
      <w:tr>
        <w:trPr>
          <w:trHeight w:val="540" w:hRule="atLeast"/>
        </w:trPr>
        <w:tc>
          <w:tcPr>
            <w:tcW w:w="1148" w:type="dxa"/>
            <w:gridSpan w:val="2"/>
            <w:vMerge w:val="restart"/>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0"/>
                <w:sz w:val="20"/>
                <w:szCs w:val="20"/>
                <w:lang w:val="en-US" w:eastAsia="zh-CN"/>
              </w:rPr>
            </w:pPr>
            <w:r>
              <w:rPr>
                <w:rStyle w:val="11"/>
                <w:rFonts w:ascii="宋体" w:hAnsi="宋体" w:eastAsia="宋体"/>
                <w:i w:val="0"/>
                <w:color w:val="000000"/>
                <w:kern w:val="0"/>
                <w:sz w:val="20"/>
                <w:szCs w:val="20"/>
                <w:lang w:val="en-US" w:eastAsia="zh-CN"/>
              </w:rPr>
              <w:t>功能分类</w:t>
            </w:r>
          </w:p>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科目编码</w:t>
            </w:r>
          </w:p>
        </w:tc>
        <w:tc>
          <w:tcPr>
            <w:tcW w:w="127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科目名称</w:t>
            </w:r>
          </w:p>
        </w:tc>
        <w:tc>
          <w:tcPr>
            <w:tcW w:w="1926" w:type="dxa"/>
            <w:vMerge w:val="continue"/>
            <w:tcBorders>
              <w:top w:val="single" w:color="000000" w:sz="8" w:space="0"/>
              <w:left w:val="single" w:color="000000" w:sz="4" w:space="0"/>
              <w:bottom w:val="single" w:color="000000" w:sz="4" w:space="0"/>
              <w:right w:val="nil"/>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single" w:color="000000" w:sz="8"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restart"/>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小计</w:t>
            </w:r>
          </w:p>
        </w:tc>
        <w:tc>
          <w:tcPr>
            <w:tcW w:w="1927" w:type="dxa"/>
            <w:vMerge w:val="restart"/>
            <w:tcBorders>
              <w:top w:val="nil"/>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基本支出</w:t>
            </w:r>
          </w:p>
        </w:tc>
        <w:tc>
          <w:tcPr>
            <w:tcW w:w="1926" w:type="dxa"/>
            <w:vMerge w:val="restart"/>
            <w:tcBorders>
              <w:top w:val="nil"/>
              <w:left w:val="single" w:color="000000" w:sz="4" w:space="0"/>
              <w:bottom w:val="single" w:color="000000" w:sz="4" w:space="0"/>
              <w:right w:val="nil"/>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项目支出</w:t>
            </w:r>
          </w:p>
        </w:tc>
        <w:tc>
          <w:tcPr>
            <w:tcW w:w="1933" w:type="dxa"/>
            <w:vMerge w:val="continue"/>
            <w:tcBorders>
              <w:top w:val="single" w:color="000000" w:sz="8" w:space="0"/>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36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single" w:color="000000" w:sz="8" w:space="0"/>
              <w:left w:val="single" w:color="000000" w:sz="4" w:space="0"/>
              <w:bottom w:val="single" w:color="000000" w:sz="4" w:space="0"/>
              <w:right w:val="nil"/>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single" w:color="000000" w:sz="8"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7"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nil"/>
              <w:left w:val="single" w:color="000000" w:sz="4" w:space="0"/>
              <w:bottom w:val="single" w:color="000000" w:sz="4" w:space="0"/>
              <w:right w:val="nil"/>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33" w:type="dxa"/>
            <w:vMerge w:val="continue"/>
            <w:tcBorders>
              <w:top w:val="single" w:color="000000" w:sz="8" w:space="0"/>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single" w:color="000000" w:sz="8" w:space="0"/>
              <w:left w:val="single" w:color="000000" w:sz="4" w:space="0"/>
              <w:bottom w:val="single" w:color="000000" w:sz="4" w:space="0"/>
              <w:right w:val="nil"/>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single" w:color="000000" w:sz="8"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7" w:type="dxa"/>
            <w:vMerge w:val="continue"/>
            <w:tcBorders>
              <w:top w:val="nil"/>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vMerge w:val="continue"/>
            <w:tcBorders>
              <w:top w:val="nil"/>
              <w:left w:val="single" w:color="000000" w:sz="4" w:space="0"/>
              <w:bottom w:val="single" w:color="000000" w:sz="4" w:space="0"/>
              <w:right w:val="nil"/>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33" w:type="dxa"/>
            <w:vMerge w:val="continue"/>
            <w:tcBorders>
              <w:top w:val="single" w:color="000000" w:sz="8" w:space="0"/>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2424" w:type="dxa"/>
            <w:gridSpan w:val="3"/>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栏次</w:t>
            </w:r>
          </w:p>
        </w:tc>
        <w:tc>
          <w:tcPr>
            <w:tcW w:w="19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1</w:t>
            </w:r>
          </w:p>
        </w:tc>
        <w:tc>
          <w:tcPr>
            <w:tcW w:w="19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2</w:t>
            </w:r>
          </w:p>
        </w:tc>
        <w:tc>
          <w:tcPr>
            <w:tcW w:w="19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3</w:t>
            </w: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4</w:t>
            </w:r>
          </w:p>
        </w:tc>
        <w:tc>
          <w:tcPr>
            <w:tcW w:w="1926" w:type="dxa"/>
            <w:tcBorders>
              <w:top w:val="single" w:color="000000" w:sz="4" w:space="0"/>
              <w:left w:val="single" w:color="000000" w:sz="4" w:space="0"/>
              <w:bottom w:val="single" w:color="000000" w:sz="4" w:space="0"/>
              <w:right w:val="nil"/>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5</w:t>
            </w:r>
          </w:p>
        </w:tc>
        <w:tc>
          <w:tcPr>
            <w:tcW w:w="1933" w:type="dxa"/>
            <w:tcBorders>
              <w:top w:val="single" w:color="000000" w:sz="4" w:space="0"/>
              <w:left w:val="single" w:color="000000" w:sz="4" w:space="0"/>
              <w:bottom w:val="single" w:color="000000" w:sz="4" w:space="0"/>
              <w:right w:val="single" w:color="000000" w:sz="8"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6</w:t>
            </w:r>
          </w:p>
        </w:tc>
      </w:tr>
      <w:tr>
        <w:trPr>
          <w:trHeight w:val="450" w:hRule="atLeast"/>
        </w:trPr>
        <w:tc>
          <w:tcPr>
            <w:tcW w:w="2424" w:type="dxa"/>
            <w:gridSpan w:val="3"/>
            <w:tcBorders>
              <w:top w:val="nil"/>
              <w:left w:val="single" w:color="000000" w:sz="8" w:space="0"/>
              <w:bottom w:val="single" w:color="000000" w:sz="4" w:space="0"/>
              <w:right w:val="single" w:color="000000" w:sz="4" w:space="0"/>
            </w:tcBorders>
            <w:vAlign w:val="center"/>
          </w:tcPr>
          <w:p>
            <w:pPr>
              <w:widowControl/>
              <w:jc w:val="center"/>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合计</w:t>
            </w:r>
          </w:p>
        </w:tc>
        <w:tc>
          <w:tcPr>
            <w:tcW w:w="1926" w:type="dxa"/>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nil"/>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4" w:space="0"/>
              <w:right w:val="single" w:color="000000" w:sz="8"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4"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4"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4"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450" w:hRule="atLeast"/>
        </w:trPr>
        <w:tc>
          <w:tcPr>
            <w:tcW w:w="1148" w:type="dxa"/>
            <w:gridSpan w:val="2"/>
            <w:tcBorders>
              <w:top w:val="single" w:color="000000" w:sz="4" w:space="0"/>
              <w:left w:val="single" w:color="000000" w:sz="8" w:space="0"/>
              <w:bottom w:val="single" w:color="000000" w:sz="8" w:space="0"/>
              <w:right w:val="single" w:color="000000" w:sz="4" w:space="0"/>
            </w:tcBorders>
            <w:vAlign w:val="center"/>
          </w:tcPr>
          <w:p>
            <w:pPr>
              <w:jc w:val="center"/>
              <w:textAlignment w:val="baseline"/>
              <w:rPr>
                <w:rStyle w:val="11"/>
                <w:rFonts w:ascii="宋体" w:hAnsi="宋体" w:eastAsia="宋体"/>
                <w:i w:val="0"/>
                <w:color w:val="000000"/>
                <w:kern w:val="2"/>
                <w:sz w:val="20"/>
                <w:szCs w:val="20"/>
                <w:lang w:val="en-US" w:eastAsia="zh-CN" w:bidi="ar-SA"/>
              </w:rPr>
            </w:pPr>
          </w:p>
        </w:tc>
        <w:tc>
          <w:tcPr>
            <w:tcW w:w="1276"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7" w:type="dxa"/>
            <w:tcBorders>
              <w:top w:val="single" w:color="000000" w:sz="4" w:space="0"/>
              <w:left w:val="single" w:color="000000" w:sz="4" w:space="0"/>
              <w:bottom w:val="single" w:color="000000" w:sz="8" w:space="0"/>
              <w:right w:val="single" w:color="000000" w:sz="4"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26" w:type="dxa"/>
            <w:tcBorders>
              <w:top w:val="single" w:color="000000" w:sz="4" w:space="0"/>
              <w:left w:val="single" w:color="000000" w:sz="4" w:space="0"/>
              <w:bottom w:val="single" w:color="000000" w:sz="8" w:space="0"/>
              <w:right w:val="nil"/>
            </w:tcBorders>
            <w:vAlign w:val="center"/>
          </w:tcPr>
          <w:p>
            <w:pPr>
              <w:jc w:val="both"/>
              <w:textAlignment w:val="baseline"/>
              <w:rPr>
                <w:rStyle w:val="11"/>
                <w:rFonts w:ascii="宋体" w:hAnsi="宋体" w:eastAsia="宋体"/>
                <w:i w:val="0"/>
                <w:color w:val="000000"/>
                <w:kern w:val="2"/>
                <w:sz w:val="20"/>
                <w:szCs w:val="20"/>
                <w:lang w:val="en-US" w:eastAsia="zh-CN" w:bidi="ar-SA"/>
              </w:rPr>
            </w:pPr>
          </w:p>
        </w:tc>
        <w:tc>
          <w:tcPr>
            <w:tcW w:w="1933" w:type="dxa"/>
            <w:tcBorders>
              <w:top w:val="single" w:color="000000" w:sz="4" w:space="0"/>
              <w:left w:val="single" w:color="000000" w:sz="4" w:space="0"/>
              <w:bottom w:val="single" w:color="000000" w:sz="8" w:space="0"/>
              <w:right w:val="single" w:color="000000" w:sz="8" w:space="0"/>
            </w:tcBorders>
            <w:vAlign w:val="center"/>
          </w:tcPr>
          <w:p>
            <w:pPr>
              <w:jc w:val="both"/>
              <w:textAlignment w:val="baseline"/>
              <w:rPr>
                <w:rStyle w:val="11"/>
                <w:rFonts w:ascii="宋体" w:hAnsi="宋体" w:eastAsia="宋体"/>
                <w:i w:val="0"/>
                <w:color w:val="000000"/>
                <w:kern w:val="2"/>
                <w:sz w:val="20"/>
                <w:szCs w:val="20"/>
                <w:lang w:val="en-US" w:eastAsia="zh-CN" w:bidi="ar-SA"/>
              </w:rPr>
            </w:pPr>
          </w:p>
        </w:tc>
      </w:tr>
      <w:tr>
        <w:trPr>
          <w:trHeight w:val="645" w:hRule="atLeast"/>
        </w:trPr>
        <w:tc>
          <w:tcPr>
            <w:tcW w:w="13988" w:type="dxa"/>
            <w:gridSpan w:val="9"/>
            <w:tcBorders>
              <w:top w:val="single" w:color="000000" w:sz="8" w:space="0"/>
              <w:left w:val="nil"/>
              <w:bottom w:val="nil"/>
              <w:right w:val="nil"/>
            </w:tcBorders>
            <w:vAlign w:val="center"/>
          </w:tcPr>
          <w:p>
            <w:pPr>
              <w:widowControl/>
              <w:jc w:val="left"/>
              <w:textAlignment w:val="center"/>
              <w:rPr>
                <w:rStyle w:val="11"/>
                <w:rFonts w:ascii="宋体" w:hAnsi="宋体" w:eastAsia="宋体"/>
                <w:i w:val="0"/>
                <w:color w:val="000000"/>
                <w:kern w:val="2"/>
                <w:sz w:val="20"/>
                <w:szCs w:val="20"/>
                <w:lang w:val="en-US" w:eastAsia="zh-CN" w:bidi="ar-SA"/>
              </w:rPr>
            </w:pPr>
            <w:r>
              <w:rPr>
                <w:rStyle w:val="11"/>
                <w:rFonts w:ascii="宋体" w:hAnsi="宋体" w:eastAsia="宋体"/>
                <w:i w:val="0"/>
                <w:color w:val="000000"/>
                <w:kern w:val="0"/>
                <w:sz w:val="20"/>
                <w:szCs w:val="20"/>
                <w:lang w:val="en-US" w:eastAsia="zh-CN"/>
              </w:rPr>
              <w:t>注：本表反映部门本年度政府性基金预算财政拨款收入、支出及结转和结余情况。</w:t>
            </w:r>
          </w:p>
        </w:tc>
      </w:tr>
    </w:tbl>
    <w:p>
      <w:pPr>
        <w:jc w:val="center"/>
        <w:textAlignment w:val="baseline"/>
        <w:sectPr>
          <w:pgSz w:w="16838" w:h="11906"/>
          <w:pgMar w:top="1800" w:right="1440" w:bottom="1800" w:left="1440" w:header="720" w:footer="720" w:gutter="0"/>
          <w:lnNumType w:countBy="0"/>
          <w:cols w:space="720" w:num="1"/>
          <w:docGrid w:type="lines" w:linePitch="312"/>
        </w:sectPr>
      </w:pPr>
      <w:r>
        <w:rPr>
          <w:rStyle w:val="11"/>
          <w:rFonts w:ascii="仿宋_GB2312" w:hAnsi="仿宋_GB2312" w:eastAsia="仿宋_GB2312"/>
          <w:color w:val="000000"/>
          <w:kern w:val="2"/>
          <w:sz w:val="32"/>
          <w:szCs w:val="32"/>
          <w:lang w:val="en-US" w:eastAsia="zh-CN" w:bidi="ar-SA"/>
        </w:rPr>
        <w:t>说明：我部门没有政府性基金收入，也没有使用政府性基金安排的支出，故本表无数据。</w:t>
      </w: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jc w:val="center"/>
        <w:textAlignment w:val="baseline"/>
        <w:rPr>
          <w:rStyle w:val="11"/>
          <w:rFonts w:ascii="黑体" w:hAnsi="黑体" w:eastAsia="黑体"/>
          <w:color w:val="000000"/>
          <w:kern w:val="2"/>
          <w:sz w:val="48"/>
          <w:szCs w:val="48"/>
          <w:lang w:val="en-US" w:eastAsia="zh-CN" w:bidi="ar-SA"/>
        </w:rPr>
      </w:pPr>
      <w:r>
        <w:rPr>
          <w:rStyle w:val="11"/>
          <w:rFonts w:ascii="黑体" w:hAnsi="黑体" w:eastAsia="黑体"/>
          <w:color w:val="000000"/>
          <w:kern w:val="2"/>
          <w:sz w:val="48"/>
          <w:szCs w:val="48"/>
          <w:lang w:val="en-US" w:eastAsia="zh-CN" w:bidi="ar-SA"/>
        </w:rPr>
        <w:t>第三部分  2019年度部门决算情况说明</w:t>
      </w:r>
    </w:p>
    <w:p>
      <w:pPr>
        <w:widowControl/>
        <w:jc w:val="left"/>
        <w:textAlignment w:val="baseline"/>
        <w:sectPr>
          <w:pgSz w:w="11906" w:h="16838"/>
          <w:pgMar w:top="1440" w:right="1800" w:bottom="1440" w:left="1800" w:header="720" w:footer="720" w:gutter="0"/>
          <w:lnNumType w:countBy="0"/>
          <w:cols w:space="720" w:num="1"/>
          <w:docGrid w:type="lines" w:linePitch="312"/>
        </w:sectPr>
      </w:pP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一、收入支出决算总体情况说明</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2019年度收入2626.81万元，支出1839.89万元。与上年度相比，收入增加1109.53万元，增长42.24%、支出增加554.36万元，增长30.13%。主要原因是人员、项目增加。</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二、收入决算情况说明</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2019年度收入合计2626.81万元，其中：财政拨款收入2626.81万元，占100%；上级补助收入0万元，占0%；事业收入0万元，占0%；经营收入万元，占0%；附属单位上缴收入0万元，占0%；其他收入0万元，占0%。</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三、支出决算情况说明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2019年度支出合计1839.89万元，其中：基本支出472.57万元，占25.68%；项目支出1367.32万元，占74.32%；上缴上级支出0万元，占0%；经营支出0万元，占0%；对附属单位补助支出0万元，占0%。</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四、财政拨款收入支出决算总体情况说明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2019年度财政拨款收入2626.81万元，支出1839.89万元。与上年度相比，收入增加1109.53万元，增长42.24%、支出增加554.36万元，增长30.13%。主要原因是人员、项目增加。</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五、一般公共预算财政拨款支出决算情况说明</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（一）总体情况。</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2019年度一般公共预算财政拨款支出1839.89万元，占本年支出合计的100%。与上年度相比，一般公共预算财政拨款支出增加554.36万元，增长30.13%。主要原因是人员、项目增加。</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（二）结构情况。</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一般公共预算财政拨款支出1839.89万元，主要用于以下方面：一般公共服务（类）支出25.4万元，占1.38%；社会保障和就业支出49.59万元，占2.7%；卫生健康支出13.48万元，占0.73%；节能环保支出255万元，占13.86%;农林水支出1475.75万元，占80.21%；住房保障支出20.67万元，占1.12%。</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（三）具体情况。</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2019年度一般公共预算财政拨款支出年初预算为</w:t>
      </w:r>
      <w:r>
        <w:rPr>
          <w:rStyle w:val="11"/>
          <w:rFonts w:hint="eastAsia" w:ascii="仿宋_GB2312" w:hAnsi="仿宋_GB2312" w:eastAsia="仿宋_GB2312"/>
          <w:color w:val="000000"/>
          <w:kern w:val="2"/>
          <w:sz w:val="32"/>
          <w:szCs w:val="32"/>
          <w:lang w:val="en-US" w:eastAsia="zh-CN" w:bidi="ar-SA"/>
        </w:rPr>
        <w:t>536.4</w:t>
      </w:r>
      <w:r>
        <w:rPr>
          <w:rStyle w:val="11"/>
          <w:rFonts w:ascii="仿宋_GB2312" w:hAnsi="仿宋_GB2312" w:eastAsia="仿宋_GB2312"/>
          <w:color w:val="000000"/>
          <w:kern w:val="2"/>
          <w:sz w:val="32"/>
          <w:szCs w:val="32"/>
          <w:lang w:val="en-US" w:eastAsia="zh-CN" w:bidi="ar-SA"/>
        </w:rPr>
        <w:t>万元，支出决算为1839.89万元，完成年初预算的</w:t>
      </w:r>
      <w:r>
        <w:rPr>
          <w:rStyle w:val="11"/>
          <w:rFonts w:hint="eastAsia" w:ascii="仿宋_GB2312" w:hAnsi="仿宋_GB2312" w:eastAsia="仿宋_GB2312"/>
          <w:color w:val="000000"/>
          <w:kern w:val="2"/>
          <w:sz w:val="32"/>
          <w:szCs w:val="32"/>
          <w:lang w:val="en-US" w:eastAsia="zh-CN" w:bidi="ar-SA"/>
        </w:rPr>
        <w:t>343</w:t>
      </w:r>
      <w:r>
        <w:rPr>
          <w:rStyle w:val="11"/>
          <w:rFonts w:ascii="仿宋_GB2312" w:hAnsi="仿宋_GB2312" w:eastAsia="仿宋_GB2312"/>
          <w:color w:val="000000"/>
          <w:kern w:val="2"/>
          <w:sz w:val="32"/>
          <w:szCs w:val="32"/>
          <w:lang w:val="en-US" w:eastAsia="zh-CN" w:bidi="ar-SA"/>
        </w:rPr>
        <w:t>%。其中：</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1．一般公共服务支出</w:t>
      </w:r>
      <w:r>
        <w:rPr>
          <w:rFonts w:hint="eastAsia" w:ascii="仿宋_GB2312" w:hAnsi="仿宋_GB2312" w:eastAsia="仿宋_GB2312" w:cs="仿宋_GB2312"/>
          <w:b/>
          <w:bCs/>
          <w:color w:val="auto"/>
          <w:sz w:val="32"/>
          <w:szCs w:val="32"/>
          <w:highlight w:val="none"/>
          <w:lang w:val="en-US" w:eastAsia="zh-CN"/>
        </w:rPr>
        <w:t>（类）其他组织事务支出类（项）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万元，支出决算为25.4万元。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ascii="仿宋_GB2312" w:hAnsi="仿宋_GB2312" w:eastAsia="仿宋_GB2312" w:cs="仿宋_GB2312"/>
          <w:b/>
          <w:bCs/>
          <w:color w:val="000000"/>
          <w:kern w:val="2"/>
          <w:sz w:val="32"/>
          <w:szCs w:val="32"/>
          <w:lang w:val="en-US" w:eastAsia="zh-CN" w:bidi="ar-SA"/>
        </w:rPr>
        <w:t>2．社会保障和就业支出</w:t>
      </w:r>
      <w:r>
        <w:rPr>
          <w:rFonts w:hint="eastAsia" w:ascii="仿宋_GB2312" w:hAnsi="仿宋_GB2312" w:eastAsia="仿宋_GB2312" w:cs="仿宋_GB2312"/>
          <w:b/>
          <w:bCs/>
          <w:color w:val="auto"/>
          <w:sz w:val="32"/>
          <w:szCs w:val="32"/>
          <w:highlight w:val="none"/>
          <w:lang w:val="en-US" w:eastAsia="zh-CN"/>
        </w:rPr>
        <w:t>（类）</w:t>
      </w:r>
      <w:r>
        <w:rPr>
          <w:rStyle w:val="11"/>
          <w:rFonts w:ascii="仿宋_GB2312" w:hAnsi="仿宋_GB2312" w:eastAsia="仿宋_GB2312" w:cs="仿宋_GB2312"/>
          <w:b/>
          <w:bCs/>
          <w:color w:val="000000"/>
          <w:kern w:val="2"/>
          <w:sz w:val="32"/>
          <w:szCs w:val="32"/>
          <w:lang w:val="en-US" w:eastAsia="zh-CN" w:bidi="ar-SA"/>
        </w:rPr>
        <w:t>归口管理的行政单位离退休</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2.923</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9.7</w:t>
      </w:r>
      <w:r>
        <w:rPr>
          <w:rStyle w:val="11"/>
          <w:rFonts w:ascii="仿宋_GB2312" w:hAnsi="仿宋_GB2312" w:eastAsia="仿宋_GB2312"/>
          <w:color w:val="000000"/>
          <w:kern w:val="2"/>
          <w:sz w:val="32"/>
          <w:szCs w:val="32"/>
          <w:lang w:val="en-US" w:eastAsia="zh-CN" w:bidi="ar-SA"/>
        </w:rPr>
        <w:t>万元，完成年初预算的</w:t>
      </w:r>
      <w:r>
        <w:rPr>
          <w:rStyle w:val="11"/>
          <w:rFonts w:hint="eastAsia" w:ascii="仿宋_GB2312" w:hAnsi="仿宋_GB2312" w:eastAsia="仿宋_GB2312"/>
          <w:color w:val="000000"/>
          <w:kern w:val="2"/>
          <w:sz w:val="32"/>
          <w:szCs w:val="32"/>
          <w:lang w:val="en-US" w:eastAsia="zh-CN" w:bidi="ar-SA"/>
        </w:rPr>
        <w:t>331.85</w:t>
      </w:r>
      <w:r>
        <w:rPr>
          <w:rStyle w:val="11"/>
          <w:rFonts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决算数与年初预算数存在差异的主要原因是人员变动。</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3.</w:t>
      </w:r>
      <w:r>
        <w:rPr>
          <w:rStyle w:val="11"/>
          <w:rFonts w:ascii="仿宋_GB2312" w:hAnsi="仿宋_GB2312" w:eastAsia="仿宋_GB2312" w:cs="仿宋_GB2312"/>
          <w:b/>
          <w:bCs/>
          <w:color w:val="000000"/>
          <w:kern w:val="2"/>
          <w:sz w:val="32"/>
          <w:szCs w:val="32"/>
          <w:lang w:val="en-US" w:eastAsia="zh-CN" w:bidi="ar-SA"/>
        </w:rPr>
        <w:t>社会保障和就业支出</w:t>
      </w:r>
      <w:r>
        <w:rPr>
          <w:rFonts w:hint="eastAsia" w:ascii="仿宋_GB2312" w:hAnsi="仿宋_GB2312" w:eastAsia="仿宋_GB2312" w:cs="仿宋_GB2312"/>
          <w:b/>
          <w:bCs/>
          <w:color w:val="auto"/>
          <w:sz w:val="32"/>
          <w:szCs w:val="32"/>
          <w:highlight w:val="none"/>
          <w:lang w:val="en-US" w:eastAsia="zh-CN"/>
        </w:rPr>
        <w:t>（类）</w:t>
      </w:r>
      <w:r>
        <w:rPr>
          <w:rStyle w:val="11"/>
          <w:rFonts w:ascii="仿宋_GB2312" w:hAnsi="仿宋_GB2312" w:eastAsia="仿宋_GB2312" w:cs="仿宋_GB2312"/>
          <w:b/>
          <w:bCs/>
          <w:color w:val="000000"/>
          <w:kern w:val="2"/>
          <w:sz w:val="32"/>
          <w:szCs w:val="32"/>
          <w:lang w:val="en-US" w:eastAsia="zh-CN" w:bidi="ar-SA"/>
        </w:rPr>
        <w:t>机关事业单位基本养老保险缴费支出</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36.2894</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27.67</w:t>
      </w:r>
      <w:r>
        <w:rPr>
          <w:rStyle w:val="11"/>
          <w:rFonts w:ascii="仿宋_GB2312" w:hAnsi="仿宋_GB2312" w:eastAsia="仿宋_GB2312"/>
          <w:color w:val="000000"/>
          <w:kern w:val="2"/>
          <w:sz w:val="32"/>
          <w:szCs w:val="32"/>
          <w:lang w:val="en-US" w:eastAsia="zh-CN" w:bidi="ar-SA"/>
        </w:rPr>
        <w:t>万元，完成年初预算的</w:t>
      </w:r>
      <w:r>
        <w:rPr>
          <w:rStyle w:val="11"/>
          <w:rFonts w:hint="eastAsia" w:ascii="仿宋_GB2312" w:hAnsi="仿宋_GB2312" w:eastAsia="仿宋_GB2312"/>
          <w:color w:val="000000"/>
          <w:kern w:val="2"/>
          <w:sz w:val="32"/>
          <w:szCs w:val="32"/>
          <w:lang w:val="en-US" w:eastAsia="zh-CN" w:bidi="ar-SA"/>
        </w:rPr>
        <w:t>76.24</w:t>
      </w:r>
      <w:r>
        <w:rPr>
          <w:rStyle w:val="11"/>
          <w:rFonts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决算数与年初预算数存在差异的主要原因是人员变动。</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4.</w:t>
      </w:r>
      <w:r>
        <w:rPr>
          <w:rStyle w:val="11"/>
          <w:rFonts w:ascii="仿宋_GB2312" w:hAnsi="仿宋_GB2312" w:eastAsia="仿宋_GB2312" w:cs="仿宋_GB2312"/>
          <w:b/>
          <w:bCs/>
          <w:color w:val="000000"/>
          <w:kern w:val="2"/>
          <w:sz w:val="32"/>
          <w:szCs w:val="32"/>
          <w:lang w:val="en-US" w:eastAsia="zh-CN" w:bidi="ar-SA"/>
        </w:rPr>
        <w:t>社会保障和就业支出</w:t>
      </w:r>
      <w:r>
        <w:rPr>
          <w:rFonts w:hint="eastAsia" w:ascii="仿宋_GB2312" w:hAnsi="仿宋_GB2312" w:eastAsia="仿宋_GB2312" w:cs="仿宋_GB2312"/>
          <w:b/>
          <w:bCs/>
          <w:color w:val="auto"/>
          <w:sz w:val="32"/>
          <w:szCs w:val="32"/>
          <w:highlight w:val="none"/>
          <w:lang w:val="en-US" w:eastAsia="zh-CN"/>
        </w:rPr>
        <w:t>（类）</w:t>
      </w:r>
      <w:r>
        <w:rPr>
          <w:rStyle w:val="11"/>
          <w:rFonts w:ascii="仿宋_GB2312" w:hAnsi="仿宋_GB2312" w:eastAsia="仿宋_GB2312" w:cs="仿宋_GB2312"/>
          <w:b/>
          <w:bCs/>
          <w:color w:val="000000"/>
          <w:kern w:val="2"/>
          <w:sz w:val="32"/>
          <w:szCs w:val="32"/>
          <w:lang w:val="en-US" w:eastAsia="zh-CN" w:bidi="ar-SA"/>
        </w:rPr>
        <w:t>机关事业单位职业年金缴费支出</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14.518</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12.22</w:t>
      </w:r>
      <w:r>
        <w:rPr>
          <w:rStyle w:val="11"/>
          <w:rFonts w:ascii="仿宋_GB2312" w:hAnsi="仿宋_GB2312" w:eastAsia="仿宋_GB2312"/>
          <w:color w:val="000000"/>
          <w:kern w:val="2"/>
          <w:sz w:val="32"/>
          <w:szCs w:val="32"/>
          <w:lang w:val="en-US" w:eastAsia="zh-CN" w:bidi="ar-SA"/>
        </w:rPr>
        <w:t>万元，完成年初预算的</w:t>
      </w:r>
      <w:r>
        <w:rPr>
          <w:rStyle w:val="11"/>
          <w:rFonts w:hint="eastAsia" w:ascii="仿宋_GB2312" w:hAnsi="仿宋_GB2312" w:eastAsia="仿宋_GB2312"/>
          <w:color w:val="000000"/>
          <w:kern w:val="2"/>
          <w:sz w:val="32"/>
          <w:szCs w:val="32"/>
          <w:lang w:val="en-US" w:eastAsia="zh-CN" w:bidi="ar-SA"/>
        </w:rPr>
        <w:t>84.17</w:t>
      </w:r>
      <w:r>
        <w:rPr>
          <w:rStyle w:val="11"/>
          <w:rFonts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决算数与年初预算数存在差异的主要原因是人员变动。</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5.</w:t>
      </w:r>
      <w:r>
        <w:rPr>
          <w:rStyle w:val="11"/>
          <w:rFonts w:ascii="仿宋_GB2312" w:hAnsi="仿宋_GB2312" w:eastAsia="仿宋_GB2312" w:cs="仿宋_GB2312"/>
          <w:b/>
          <w:bCs/>
          <w:color w:val="000000"/>
          <w:kern w:val="2"/>
          <w:sz w:val="32"/>
          <w:szCs w:val="32"/>
          <w:lang w:val="en-US" w:eastAsia="zh-CN" w:bidi="ar-SA"/>
        </w:rPr>
        <w:t>卫生健康支出</w:t>
      </w:r>
      <w:r>
        <w:rPr>
          <w:rFonts w:hint="eastAsia" w:ascii="仿宋_GB2312" w:hAnsi="仿宋_GB2312" w:eastAsia="仿宋_GB2312" w:cs="仿宋_GB2312"/>
          <w:b/>
          <w:bCs/>
          <w:color w:val="auto"/>
          <w:sz w:val="32"/>
          <w:szCs w:val="32"/>
          <w:highlight w:val="none"/>
          <w:lang w:val="en-US" w:eastAsia="zh-CN"/>
        </w:rPr>
        <w:t>（类）</w:t>
      </w:r>
      <w:r>
        <w:rPr>
          <w:rStyle w:val="11"/>
          <w:rFonts w:ascii="仿宋_GB2312" w:hAnsi="仿宋_GB2312" w:eastAsia="仿宋_GB2312" w:cs="仿宋_GB2312"/>
          <w:b/>
          <w:bCs/>
          <w:color w:val="000000"/>
          <w:kern w:val="2"/>
          <w:sz w:val="32"/>
          <w:szCs w:val="32"/>
          <w:lang w:val="en-US" w:eastAsia="zh-CN" w:bidi="ar-SA"/>
        </w:rPr>
        <w:t>行政事业单位医疗</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21.7737</w:t>
      </w:r>
      <w:r>
        <w:rPr>
          <w:rStyle w:val="11"/>
          <w:rFonts w:ascii="仿宋_GB2312" w:hAnsi="仿宋_GB2312" w:eastAsia="仿宋_GB2312"/>
          <w:color w:val="000000"/>
          <w:kern w:val="2"/>
          <w:sz w:val="32"/>
          <w:szCs w:val="32"/>
          <w:lang w:val="en-US" w:eastAsia="zh-CN" w:bidi="ar-SA"/>
        </w:rPr>
        <w:t>万元，支出决算为13.48万元，完成年初预算的</w:t>
      </w:r>
      <w:r>
        <w:rPr>
          <w:rStyle w:val="11"/>
          <w:rFonts w:hint="eastAsia" w:ascii="仿宋_GB2312" w:hAnsi="仿宋_GB2312" w:eastAsia="仿宋_GB2312"/>
          <w:color w:val="000000"/>
          <w:kern w:val="2"/>
          <w:sz w:val="32"/>
          <w:szCs w:val="32"/>
          <w:lang w:val="en-US" w:eastAsia="zh-CN" w:bidi="ar-SA"/>
        </w:rPr>
        <w:t>61.91</w:t>
      </w:r>
      <w:r>
        <w:rPr>
          <w:rStyle w:val="11"/>
          <w:rFonts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决算数与年初预算数存在差异的主要原因是人员变动。</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6.节能环保支出（类）</w:t>
      </w:r>
      <w:r>
        <w:rPr>
          <w:rStyle w:val="11"/>
          <w:rFonts w:ascii="仿宋_GB2312" w:hAnsi="仿宋_GB2312" w:eastAsia="仿宋_GB2312" w:cs="仿宋_GB2312"/>
          <w:b/>
          <w:bCs/>
          <w:color w:val="000000"/>
          <w:kern w:val="2"/>
          <w:sz w:val="32"/>
          <w:szCs w:val="32"/>
          <w:lang w:val="en-US" w:eastAsia="zh-CN" w:bidi="ar-SA"/>
        </w:rPr>
        <w:t>农村环境保护</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万元，支出决算为255万元。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hint="eastAsia" w:ascii="仿宋_GB2312" w:hAnsi="仿宋_GB2312" w:eastAsia="仿宋_GB2312" w:cs="仿宋_GB2312"/>
          <w:b/>
          <w:bCs/>
          <w:color w:val="000000"/>
          <w:kern w:val="2"/>
          <w:sz w:val="32"/>
          <w:szCs w:val="32"/>
          <w:lang w:val="en-US" w:eastAsia="zh-CN" w:bidi="ar-SA"/>
        </w:rPr>
        <w:t>7.农林水支出（类）农业（</w:t>
      </w:r>
      <w:r>
        <w:rPr>
          <w:rFonts w:hint="eastAsia" w:ascii="仿宋_GB2312" w:hAnsi="仿宋_GB2312" w:eastAsia="仿宋_GB2312" w:cs="仿宋_GB2312"/>
          <w:b/>
          <w:bCs/>
          <w:color w:val="auto"/>
          <w:sz w:val="32"/>
          <w:szCs w:val="32"/>
          <w:highlight w:val="none"/>
          <w:lang w:val="en-US" w:eastAsia="zh-CN"/>
        </w:rPr>
        <w:t>款）</w:t>
      </w:r>
      <w:r>
        <w:rPr>
          <w:rStyle w:val="11"/>
          <w:rFonts w:hint="eastAsia" w:ascii="仿宋_GB2312" w:hAnsi="仿宋_GB2312" w:eastAsia="仿宋_GB2312" w:cs="仿宋_GB2312"/>
          <w:b/>
          <w:bCs/>
          <w:color w:val="000000"/>
          <w:kern w:val="2"/>
          <w:sz w:val="32"/>
          <w:szCs w:val="32"/>
          <w:lang w:val="en-US" w:eastAsia="zh-CN" w:bidi="ar-SA"/>
        </w:rPr>
        <w:t>行政运行（</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439.1</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333.51</w:t>
      </w:r>
      <w:r>
        <w:rPr>
          <w:rStyle w:val="11"/>
          <w:rFonts w:ascii="仿宋_GB2312" w:hAnsi="仿宋_GB2312" w:eastAsia="仿宋_GB2312"/>
          <w:color w:val="000000"/>
          <w:kern w:val="2"/>
          <w:sz w:val="32"/>
          <w:szCs w:val="32"/>
          <w:lang w:val="en-US" w:eastAsia="zh-CN" w:bidi="ar-SA"/>
        </w:rPr>
        <w:t>万元，完成年初预算的</w:t>
      </w:r>
      <w:r>
        <w:rPr>
          <w:rStyle w:val="11"/>
          <w:rFonts w:hint="eastAsia" w:ascii="仿宋_GB2312" w:hAnsi="仿宋_GB2312" w:eastAsia="仿宋_GB2312"/>
          <w:color w:val="000000"/>
          <w:kern w:val="2"/>
          <w:sz w:val="32"/>
          <w:szCs w:val="32"/>
          <w:lang w:val="en-US" w:eastAsia="zh-CN" w:bidi="ar-SA"/>
        </w:rPr>
        <w:t>75.95</w:t>
      </w:r>
      <w:r>
        <w:rPr>
          <w:rStyle w:val="11"/>
          <w:rFonts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决算数与年初预算数存在差异的主要原因：人员变动</w:t>
      </w:r>
      <w:r>
        <w:rPr>
          <w:rStyle w:val="11"/>
          <w:rFonts w:ascii="仿宋_GB2312" w:hAnsi="仿宋_GB2312" w:eastAsia="仿宋_GB2312"/>
          <w:color w:val="000000"/>
          <w:kern w:val="2"/>
          <w:sz w:val="32"/>
          <w:szCs w:val="32"/>
          <w:lang w:val="en-US" w:eastAsia="zh-CN" w:bidi="ar-SA"/>
        </w:rPr>
        <w:t>。</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hint="eastAsia" w:ascii="仿宋_GB2312" w:hAnsi="仿宋_GB2312" w:eastAsia="仿宋_GB2312" w:cs="仿宋_GB2312"/>
          <w:b/>
          <w:bCs/>
          <w:color w:val="000000"/>
          <w:kern w:val="2"/>
          <w:sz w:val="32"/>
          <w:szCs w:val="32"/>
          <w:lang w:val="en-US" w:eastAsia="zh-CN" w:bidi="ar-SA"/>
        </w:rPr>
        <w:t>8.农林水支出（类）农业（</w:t>
      </w:r>
      <w:r>
        <w:rPr>
          <w:rFonts w:hint="eastAsia" w:ascii="仿宋_GB2312" w:hAnsi="仿宋_GB2312" w:eastAsia="仿宋_GB2312" w:cs="仿宋_GB2312"/>
          <w:b/>
          <w:bCs/>
          <w:color w:val="auto"/>
          <w:sz w:val="32"/>
          <w:szCs w:val="32"/>
          <w:highlight w:val="none"/>
          <w:lang w:val="en-US" w:eastAsia="zh-CN"/>
        </w:rPr>
        <w:t>款）</w:t>
      </w:r>
      <w:r>
        <w:rPr>
          <w:rStyle w:val="11"/>
          <w:rFonts w:hint="eastAsia" w:ascii="仿宋_GB2312" w:hAnsi="仿宋_GB2312" w:eastAsia="仿宋_GB2312" w:cs="仿宋_GB2312"/>
          <w:b/>
          <w:bCs/>
          <w:color w:val="000000"/>
          <w:kern w:val="2"/>
          <w:sz w:val="32"/>
          <w:szCs w:val="32"/>
          <w:lang w:val="en-US" w:eastAsia="zh-CN" w:bidi="ar-SA"/>
        </w:rPr>
        <w:t>一般行政管理事务（</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3.87</w:t>
      </w:r>
      <w:r>
        <w:rPr>
          <w:rStyle w:val="11"/>
          <w:rFonts w:ascii="仿宋_GB2312" w:hAnsi="仿宋_GB2312" w:eastAsia="仿宋_GB2312"/>
          <w:color w:val="000000"/>
          <w:kern w:val="2"/>
          <w:sz w:val="32"/>
          <w:szCs w:val="32"/>
          <w:lang w:val="en-US" w:eastAsia="zh-CN" w:bidi="ar-SA"/>
        </w:rPr>
        <w:t>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hint="eastAsia" w:ascii="仿宋_GB2312" w:hAnsi="仿宋_GB2312" w:eastAsia="仿宋_GB2312" w:cs="仿宋_GB2312"/>
          <w:b/>
          <w:bCs/>
          <w:color w:val="000000"/>
          <w:kern w:val="2"/>
          <w:sz w:val="32"/>
          <w:szCs w:val="32"/>
          <w:lang w:val="en-US" w:eastAsia="zh-CN" w:bidi="ar-SA"/>
        </w:rPr>
        <w:t>9.农林水支出（类）农业（</w:t>
      </w:r>
      <w:r>
        <w:rPr>
          <w:rFonts w:hint="eastAsia" w:ascii="仿宋_GB2312" w:hAnsi="仿宋_GB2312" w:eastAsia="仿宋_GB2312" w:cs="仿宋_GB2312"/>
          <w:b/>
          <w:bCs/>
          <w:color w:val="auto"/>
          <w:sz w:val="32"/>
          <w:szCs w:val="32"/>
          <w:highlight w:val="none"/>
          <w:lang w:val="en-US" w:eastAsia="zh-CN"/>
        </w:rPr>
        <w:t>款）</w:t>
      </w:r>
      <w:r>
        <w:rPr>
          <w:rStyle w:val="11"/>
          <w:rFonts w:hint="eastAsia" w:ascii="仿宋_GB2312" w:hAnsi="仿宋_GB2312" w:eastAsia="仿宋_GB2312" w:cs="仿宋_GB2312"/>
          <w:b/>
          <w:bCs/>
          <w:color w:val="000000"/>
          <w:kern w:val="2"/>
          <w:sz w:val="32"/>
          <w:szCs w:val="32"/>
          <w:lang w:val="en-US" w:eastAsia="zh-CN" w:bidi="ar-SA"/>
        </w:rPr>
        <w:t>病虫害控制（</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57.13</w:t>
      </w:r>
      <w:r>
        <w:rPr>
          <w:rStyle w:val="11"/>
          <w:rFonts w:ascii="仿宋_GB2312" w:hAnsi="仿宋_GB2312" w:eastAsia="仿宋_GB2312"/>
          <w:color w:val="000000"/>
          <w:kern w:val="2"/>
          <w:sz w:val="32"/>
          <w:szCs w:val="32"/>
          <w:lang w:val="en-US" w:eastAsia="zh-CN" w:bidi="ar-SA"/>
        </w:rPr>
        <w:t>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r>
        <w:rPr>
          <w:rStyle w:val="11"/>
          <w:rFonts w:ascii="仿宋_GB2312" w:hAnsi="仿宋_GB2312" w:eastAsia="仿宋_GB2312"/>
          <w:color w:val="000000"/>
          <w:kern w:val="2"/>
          <w:sz w:val="32"/>
          <w:szCs w:val="32"/>
          <w:lang w:val="en-US" w:eastAsia="zh-CN" w:bidi="ar-SA"/>
        </w:rPr>
        <w:t>。</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11.农林水支出（类）农业（</w:t>
      </w:r>
      <w:r>
        <w:rPr>
          <w:rFonts w:hint="eastAsia" w:ascii="仿宋_GB2312" w:hAnsi="仿宋_GB2312" w:eastAsia="仿宋_GB2312" w:cs="仿宋_GB2312"/>
          <w:b/>
          <w:bCs/>
          <w:color w:val="auto"/>
          <w:sz w:val="32"/>
          <w:szCs w:val="32"/>
          <w:highlight w:val="none"/>
          <w:lang w:val="en-US" w:eastAsia="zh-CN"/>
        </w:rPr>
        <w:t>款）</w:t>
      </w:r>
      <w:r>
        <w:rPr>
          <w:rStyle w:val="11"/>
          <w:rFonts w:hint="eastAsia" w:ascii="仿宋_GB2312" w:hAnsi="仿宋_GB2312" w:eastAsia="仿宋_GB2312" w:cs="仿宋_GB2312"/>
          <w:b/>
          <w:bCs/>
          <w:color w:val="000000"/>
          <w:kern w:val="2"/>
          <w:sz w:val="32"/>
          <w:szCs w:val="32"/>
          <w:lang w:val="en-US" w:eastAsia="zh-CN" w:bidi="ar-SA"/>
        </w:rPr>
        <w:t>农产品质量安全（</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6.39</w:t>
      </w:r>
      <w:r>
        <w:rPr>
          <w:rStyle w:val="11"/>
          <w:rFonts w:ascii="仿宋_GB2312" w:hAnsi="仿宋_GB2312" w:eastAsia="仿宋_GB2312"/>
          <w:color w:val="000000"/>
          <w:kern w:val="2"/>
          <w:sz w:val="32"/>
          <w:szCs w:val="32"/>
          <w:lang w:val="en-US" w:eastAsia="zh-CN" w:bidi="ar-SA"/>
        </w:rPr>
        <w:t>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hint="eastAsia" w:ascii="仿宋_GB2312" w:hAnsi="仿宋_GB2312" w:eastAsia="仿宋_GB2312" w:cs="仿宋_GB2312"/>
          <w:b/>
          <w:bCs/>
          <w:color w:val="000000"/>
          <w:kern w:val="2"/>
          <w:sz w:val="32"/>
          <w:szCs w:val="32"/>
          <w:lang w:val="en-US" w:eastAsia="zh-CN" w:bidi="ar-SA"/>
        </w:rPr>
        <w:t>12.农林水支出（类）农业（</w:t>
      </w:r>
      <w:r>
        <w:rPr>
          <w:rFonts w:hint="eastAsia" w:ascii="仿宋_GB2312" w:hAnsi="仿宋_GB2312" w:eastAsia="仿宋_GB2312" w:cs="仿宋_GB2312"/>
          <w:b/>
          <w:bCs/>
          <w:color w:val="auto"/>
          <w:sz w:val="32"/>
          <w:szCs w:val="32"/>
          <w:highlight w:val="none"/>
          <w:lang w:val="en-US" w:eastAsia="zh-CN"/>
        </w:rPr>
        <w:t>款）</w:t>
      </w:r>
      <w:r>
        <w:rPr>
          <w:rStyle w:val="11"/>
          <w:rFonts w:hint="eastAsia" w:ascii="仿宋_GB2312" w:hAnsi="仿宋_GB2312" w:eastAsia="仿宋_GB2312" w:cs="仿宋_GB2312"/>
          <w:b/>
          <w:bCs/>
          <w:color w:val="000000"/>
          <w:kern w:val="2"/>
          <w:sz w:val="32"/>
          <w:szCs w:val="32"/>
          <w:lang w:val="en-US" w:eastAsia="zh-CN" w:bidi="ar-SA"/>
        </w:rPr>
        <w:t>农业生产支持补贴（</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762.01</w:t>
      </w:r>
      <w:r>
        <w:rPr>
          <w:rStyle w:val="11"/>
          <w:rFonts w:ascii="仿宋_GB2312" w:hAnsi="仿宋_GB2312" w:eastAsia="仿宋_GB2312"/>
          <w:color w:val="000000"/>
          <w:kern w:val="2"/>
          <w:sz w:val="32"/>
          <w:szCs w:val="32"/>
          <w:lang w:val="en-US" w:eastAsia="zh-CN" w:bidi="ar-SA"/>
        </w:rPr>
        <w:t>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hint="eastAsia" w:ascii="仿宋_GB2312" w:hAnsi="仿宋_GB2312" w:eastAsia="仿宋_GB2312" w:cs="仿宋_GB2312"/>
          <w:b/>
          <w:bCs/>
          <w:color w:val="000000"/>
          <w:kern w:val="2"/>
          <w:sz w:val="32"/>
          <w:szCs w:val="32"/>
          <w:lang w:val="en-US" w:eastAsia="zh-CN" w:bidi="ar-SA"/>
        </w:rPr>
        <w:t>13.农林水支出（类）农业（</w:t>
      </w:r>
      <w:r>
        <w:rPr>
          <w:rFonts w:hint="eastAsia" w:ascii="仿宋_GB2312" w:hAnsi="仿宋_GB2312" w:eastAsia="仿宋_GB2312" w:cs="仿宋_GB2312"/>
          <w:b/>
          <w:bCs/>
          <w:color w:val="auto"/>
          <w:sz w:val="32"/>
          <w:szCs w:val="32"/>
          <w:highlight w:val="none"/>
          <w:lang w:val="en-US" w:eastAsia="zh-CN"/>
        </w:rPr>
        <w:t>款）农产品加工与促销</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12</w:t>
      </w:r>
      <w:r>
        <w:rPr>
          <w:rStyle w:val="11"/>
          <w:rFonts w:ascii="仿宋_GB2312" w:hAnsi="仿宋_GB2312" w:eastAsia="仿宋_GB2312"/>
          <w:color w:val="000000"/>
          <w:kern w:val="2"/>
          <w:sz w:val="32"/>
          <w:szCs w:val="32"/>
          <w:lang w:val="en-US" w:eastAsia="zh-CN" w:bidi="ar-SA"/>
        </w:rPr>
        <w:t>万元</w:t>
      </w:r>
      <w:r>
        <w:rPr>
          <w:rStyle w:val="11"/>
          <w:rFonts w:hint="eastAsia"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14.农林水支出（类）农业（</w:t>
      </w:r>
      <w:r>
        <w:rPr>
          <w:rFonts w:hint="eastAsia" w:ascii="仿宋_GB2312" w:hAnsi="仿宋_GB2312" w:eastAsia="仿宋_GB2312" w:cs="仿宋_GB2312"/>
          <w:b/>
          <w:bCs/>
          <w:color w:val="auto"/>
          <w:sz w:val="32"/>
          <w:szCs w:val="32"/>
          <w:highlight w:val="none"/>
          <w:lang w:val="en-US" w:eastAsia="zh-CN"/>
        </w:rPr>
        <w:t>款）农业资源保护修复与利用</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236.75</w:t>
      </w:r>
      <w:r>
        <w:rPr>
          <w:rStyle w:val="11"/>
          <w:rFonts w:ascii="仿宋_GB2312" w:hAnsi="仿宋_GB2312" w:eastAsia="仿宋_GB2312"/>
          <w:color w:val="000000"/>
          <w:kern w:val="2"/>
          <w:sz w:val="32"/>
          <w:szCs w:val="32"/>
          <w:lang w:val="en-US" w:eastAsia="zh-CN" w:bidi="ar-SA"/>
        </w:rPr>
        <w:t>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15.农林水支出（类）农业（</w:t>
      </w:r>
      <w:r>
        <w:rPr>
          <w:rFonts w:hint="eastAsia" w:ascii="仿宋_GB2312" w:hAnsi="仿宋_GB2312" w:eastAsia="仿宋_GB2312" w:cs="仿宋_GB2312"/>
          <w:b/>
          <w:bCs/>
          <w:color w:val="auto"/>
          <w:sz w:val="32"/>
          <w:szCs w:val="32"/>
          <w:highlight w:val="none"/>
          <w:lang w:val="en-US" w:eastAsia="zh-CN"/>
        </w:rPr>
        <w:t>款）其他农业支出</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w:t>
      </w:r>
      <w:r>
        <w:rPr>
          <w:rStyle w:val="11"/>
          <w:rFonts w:hint="eastAsia" w:ascii="仿宋_GB2312" w:hAnsi="仿宋_GB2312" w:eastAsia="仿宋_GB2312"/>
          <w:color w:val="000000"/>
          <w:kern w:val="2"/>
          <w:sz w:val="32"/>
          <w:szCs w:val="32"/>
          <w:lang w:val="en-US" w:eastAsia="zh-CN" w:bidi="ar-SA"/>
        </w:rPr>
        <w:t>29.93</w:t>
      </w:r>
      <w:r>
        <w:rPr>
          <w:rStyle w:val="11"/>
          <w:rFonts w:ascii="仿宋_GB2312" w:hAnsi="仿宋_GB2312" w:eastAsia="仿宋_GB2312"/>
          <w:color w:val="000000"/>
          <w:kern w:val="2"/>
          <w:sz w:val="32"/>
          <w:szCs w:val="32"/>
          <w:lang w:val="en-US" w:eastAsia="zh-CN" w:bidi="ar-SA"/>
        </w:rPr>
        <w:t>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1"/>
          <w:rFonts w:hint="eastAsia" w:ascii="仿宋_GB2312" w:hAnsi="仿宋_GB2312" w:eastAsia="仿宋_GB2312" w:cs="仿宋_GB2312"/>
          <w:b/>
          <w:bCs/>
          <w:color w:val="000000"/>
          <w:kern w:val="2"/>
          <w:sz w:val="32"/>
          <w:szCs w:val="32"/>
          <w:lang w:val="en-US" w:eastAsia="zh-CN" w:bidi="ar-SA"/>
        </w:rPr>
        <w:t>16</w:t>
      </w:r>
      <w:r>
        <w:rPr>
          <w:rStyle w:val="11"/>
          <w:rFonts w:ascii="仿宋_GB2312" w:hAnsi="仿宋_GB2312" w:eastAsia="仿宋_GB2312" w:cs="仿宋_GB2312"/>
          <w:b/>
          <w:bCs/>
          <w:color w:val="000000"/>
          <w:kern w:val="2"/>
          <w:sz w:val="32"/>
          <w:szCs w:val="32"/>
          <w:lang w:val="en-US" w:eastAsia="zh-CN" w:bidi="ar-SA"/>
        </w:rPr>
        <w:t>．</w:t>
      </w:r>
      <w:r>
        <w:rPr>
          <w:rStyle w:val="11"/>
          <w:rFonts w:hint="eastAsia" w:ascii="仿宋_GB2312" w:hAnsi="仿宋_GB2312" w:eastAsia="仿宋_GB2312" w:cs="仿宋_GB2312"/>
          <w:b/>
          <w:bCs/>
          <w:color w:val="000000"/>
          <w:kern w:val="2"/>
          <w:sz w:val="32"/>
          <w:szCs w:val="32"/>
          <w:lang w:val="en-US" w:eastAsia="zh-CN" w:bidi="ar-SA"/>
        </w:rPr>
        <w:t>农林水支出（类）农业（</w:t>
      </w:r>
      <w:r>
        <w:rPr>
          <w:rFonts w:hint="eastAsia" w:ascii="仿宋_GB2312" w:hAnsi="仿宋_GB2312" w:eastAsia="仿宋_GB2312" w:cs="仿宋_GB2312"/>
          <w:b/>
          <w:bCs/>
          <w:color w:val="auto"/>
          <w:sz w:val="32"/>
          <w:szCs w:val="32"/>
          <w:highlight w:val="none"/>
          <w:lang w:val="en-US" w:eastAsia="zh-CN"/>
        </w:rPr>
        <w:t>款）</w:t>
      </w:r>
      <w:r>
        <w:rPr>
          <w:rStyle w:val="11"/>
          <w:rFonts w:ascii="仿宋_GB2312" w:hAnsi="仿宋_GB2312" w:eastAsia="仿宋_GB2312" w:cs="仿宋_GB2312"/>
          <w:b/>
          <w:bCs/>
          <w:color w:val="000000"/>
          <w:kern w:val="2"/>
          <w:sz w:val="32"/>
          <w:szCs w:val="32"/>
          <w:lang w:val="en-US" w:eastAsia="zh-CN" w:bidi="ar-SA"/>
        </w:rPr>
        <w:t>普惠金融发展支出</w:t>
      </w:r>
      <w:r>
        <w:rPr>
          <w:rStyle w:val="11"/>
          <w:rFonts w:hint="eastAsia" w:ascii="仿宋_GB2312" w:hAnsi="仿宋_GB2312" w:eastAsia="仿宋_GB2312" w:cs="仿宋_GB2312"/>
          <w:b/>
          <w:bCs/>
          <w:color w:val="000000"/>
          <w:kern w:val="2"/>
          <w:sz w:val="32"/>
          <w:szCs w:val="32"/>
          <w:lang w:val="en-US" w:eastAsia="zh-CN" w:bidi="ar-SA"/>
        </w:rPr>
        <w:t>（</w:t>
      </w:r>
      <w:r>
        <w:rPr>
          <w:rFonts w:hint="eastAsia" w:ascii="仿宋_GB2312" w:hAnsi="仿宋_GB2312" w:eastAsia="仿宋_GB2312" w:cs="仿宋_GB2312"/>
          <w:b/>
          <w:bCs/>
          <w:color w:val="auto"/>
          <w:sz w:val="32"/>
          <w:szCs w:val="32"/>
          <w:highlight w:val="none"/>
          <w:lang w:val="en-US" w:eastAsia="zh-CN"/>
        </w:rPr>
        <w:t>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0</w:t>
      </w:r>
      <w:r>
        <w:rPr>
          <w:rStyle w:val="11"/>
          <w:rFonts w:ascii="仿宋_GB2312" w:hAnsi="仿宋_GB2312" w:eastAsia="仿宋_GB2312"/>
          <w:color w:val="000000"/>
          <w:kern w:val="2"/>
          <w:sz w:val="32"/>
          <w:szCs w:val="32"/>
          <w:lang w:val="en-US" w:eastAsia="zh-CN" w:bidi="ar-SA"/>
        </w:rPr>
        <w:t>万元，支出决算为34.16万元。</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wordWrap/>
        <w:spacing w:line="590" w:lineRule="exact"/>
        <w:ind w:left="0" w:leftChars="0" w:right="0" w:firstLine="643" w:firstLineChars="200"/>
        <w:jc w:val="both"/>
        <w:textAlignment w:val="auto"/>
        <w:rPr>
          <w:rStyle w:val="11"/>
          <w:rFonts w:hint="default" w:ascii="仿宋_GB2312" w:hAnsi="仿宋_GB2312" w:eastAsia="仿宋_GB2312"/>
          <w:color w:val="000000"/>
          <w:kern w:val="2"/>
          <w:sz w:val="32"/>
          <w:szCs w:val="32"/>
          <w:lang w:val="en-US" w:eastAsia="zh-CN" w:bidi="ar-SA"/>
        </w:rPr>
      </w:pPr>
      <w:r>
        <w:rPr>
          <w:rStyle w:val="11"/>
          <w:rFonts w:hint="eastAsia" w:ascii="仿宋_GB2312" w:hAnsi="仿宋_GB2312" w:eastAsia="仿宋_GB2312" w:cs="仿宋_GB2312"/>
          <w:b/>
          <w:bCs/>
          <w:color w:val="000000"/>
          <w:kern w:val="2"/>
          <w:sz w:val="32"/>
          <w:szCs w:val="32"/>
          <w:lang w:val="en-US" w:eastAsia="zh-CN" w:bidi="ar-SA"/>
        </w:rPr>
        <w:t>1</w:t>
      </w:r>
      <w:r>
        <w:rPr>
          <w:rStyle w:val="11"/>
          <w:rFonts w:ascii="仿宋_GB2312" w:hAnsi="仿宋_GB2312" w:eastAsia="仿宋_GB2312" w:cs="仿宋_GB2312"/>
          <w:b/>
          <w:bCs/>
          <w:color w:val="000000"/>
          <w:kern w:val="2"/>
          <w:sz w:val="32"/>
          <w:szCs w:val="32"/>
          <w:lang w:val="en-US" w:eastAsia="zh-CN" w:bidi="ar-SA"/>
        </w:rPr>
        <w:t>7．</w:t>
      </w:r>
      <w:r>
        <w:rPr>
          <w:rFonts w:hint="eastAsia" w:ascii="仿宋_GB2312" w:hAnsi="仿宋_GB2312" w:eastAsia="仿宋_GB2312" w:cs="仿宋_GB2312"/>
          <w:b/>
          <w:bCs/>
          <w:color w:val="auto"/>
          <w:sz w:val="32"/>
          <w:szCs w:val="32"/>
          <w:highlight w:val="none"/>
          <w:lang w:val="en-US" w:eastAsia="zh-CN"/>
        </w:rPr>
        <w:t>住房保障支出（类）住房改革支出（款）住房公积金（项）</w:t>
      </w:r>
      <w:r>
        <w:rPr>
          <w:rStyle w:val="11"/>
          <w:rFonts w:ascii="仿宋_GB2312" w:hAnsi="仿宋_GB2312" w:eastAsia="仿宋_GB2312"/>
          <w:color w:val="000000"/>
          <w:kern w:val="2"/>
          <w:sz w:val="32"/>
          <w:szCs w:val="32"/>
          <w:lang w:val="en-US" w:eastAsia="zh-CN" w:bidi="ar-SA"/>
        </w:rPr>
        <w:t>年初预算为</w:t>
      </w:r>
      <w:r>
        <w:rPr>
          <w:rStyle w:val="11"/>
          <w:rFonts w:hint="eastAsia" w:ascii="仿宋_GB2312" w:hAnsi="仿宋_GB2312" w:eastAsia="仿宋_GB2312"/>
          <w:color w:val="000000"/>
          <w:kern w:val="2"/>
          <w:sz w:val="32"/>
          <w:szCs w:val="32"/>
          <w:lang w:val="en-US" w:eastAsia="zh-CN" w:bidi="ar-SA"/>
        </w:rPr>
        <w:t>21.7737</w:t>
      </w:r>
      <w:r>
        <w:rPr>
          <w:rStyle w:val="11"/>
          <w:rFonts w:ascii="仿宋_GB2312" w:hAnsi="仿宋_GB2312" w:eastAsia="仿宋_GB2312"/>
          <w:color w:val="000000"/>
          <w:kern w:val="2"/>
          <w:sz w:val="32"/>
          <w:szCs w:val="32"/>
          <w:lang w:val="en-US" w:eastAsia="zh-CN" w:bidi="ar-SA"/>
        </w:rPr>
        <w:t>万元，支出决算为20.67万元，完成年初预算的</w:t>
      </w:r>
      <w:r>
        <w:rPr>
          <w:rStyle w:val="11"/>
          <w:rFonts w:hint="eastAsia" w:ascii="仿宋_GB2312" w:hAnsi="仿宋_GB2312" w:eastAsia="仿宋_GB2312"/>
          <w:color w:val="000000"/>
          <w:kern w:val="2"/>
          <w:sz w:val="32"/>
          <w:szCs w:val="32"/>
          <w:lang w:val="en-US" w:eastAsia="zh-CN" w:bidi="ar-SA"/>
        </w:rPr>
        <w:t>94.93</w:t>
      </w:r>
      <w:r>
        <w:rPr>
          <w:rStyle w:val="11"/>
          <w:rFonts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color w:val="auto"/>
          <w:sz w:val="32"/>
          <w:szCs w:val="32"/>
          <w:highlight w:val="none"/>
          <w:lang w:val="en-US" w:eastAsia="zh-CN"/>
        </w:rPr>
        <w:t>决算数与年初预算数存在差异的主要原因是人员变动。</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六、一般公共预算财政拨款基本支出决算情况说明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一般公共预算财政拨款基本支出472.57万元。其中：人员经费429.28万元，主要包括：基本工资、津贴补贴、绩效工资、机关事业单位基本养老保险缴费、职业年金缴费、其他社会保障缴费、其他工资福利支出、离休费、退休费、抚恤金、生活补助、奖励金、住房公积金、采暖补贴、物业服务补贴、其他对个人和家庭的补助支出；公用经费43.29万元，主要包括：办公费、印刷费、水费、电费、邮电费、取暖费、差旅费、培训费、劳务费、委托业务费、福利费、公务用车运行维护费、其他交通费用、其他商品和服务支出、办公设备购置、专用设备购置、信息网络及软件购置更新、其他资本性支出。</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七、一般公共预算财政拨款“三公”经费支出决算情况说明</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（一）“三公”经费财政拨款支出决算总体情况说明。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三公”经费财政拨款支出预算为6.5万元，支出决算为1.39万元，完成预算的21.38%。2019年度“三公”经费支出决算数与预算数存在差异的主要原因是加强公务用车管理，规范公务接待活动的范围及标准，减少了相关支出。</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（二）“三公”经费财政拨款支出决算具体情况说明。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三公”经费财政拨款支出决算中，因公出国（境）费支出决算0万元，完成预算的0%，占0%；公务用车购置及运行费支出决算1.39万元，完成预算的23.17%，占100%；公务接待费支出决算0万元，完成预算的0%，占0%。具体情况如下：</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1．因公出国（境）费</w:t>
      </w:r>
      <w:r>
        <w:rPr>
          <w:rStyle w:val="11"/>
          <w:rFonts w:ascii="仿宋_GB2312" w:hAnsi="仿宋_GB2312" w:eastAsia="仿宋_GB2312"/>
          <w:color w:val="000000"/>
          <w:kern w:val="2"/>
          <w:sz w:val="32"/>
          <w:szCs w:val="32"/>
          <w:lang w:val="en-US" w:eastAsia="zh-CN" w:bidi="ar-SA"/>
        </w:rPr>
        <w:t>年初预算为0万元，支出决算为0万元，完成年初预算的0%。我单位无因公出国。</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2．公务用车购置及运行费</w:t>
      </w:r>
      <w:r>
        <w:rPr>
          <w:rStyle w:val="11"/>
          <w:rFonts w:ascii="仿宋_GB2312" w:hAnsi="仿宋_GB2312" w:eastAsia="仿宋_GB2312"/>
          <w:color w:val="000000"/>
          <w:kern w:val="2"/>
          <w:sz w:val="32"/>
          <w:szCs w:val="32"/>
          <w:lang w:val="en-US" w:eastAsia="zh-CN" w:bidi="ar-SA"/>
        </w:rPr>
        <w:t>初预算为6万元，支出决算为1.39万元，完成年初预算的23.17%。决算数与年初预算数存在差异的主要原因是加强公务用车管理</w:t>
      </w:r>
      <w:r>
        <w:rPr>
          <w:rStyle w:val="11"/>
          <w:rFonts w:hint="eastAsia" w:ascii="仿宋_GB2312" w:hAnsi="仿宋_GB2312" w:eastAsia="仿宋_GB2312"/>
          <w:color w:val="000000"/>
          <w:kern w:val="2"/>
          <w:sz w:val="32"/>
          <w:szCs w:val="32"/>
          <w:lang w:val="en-US" w:eastAsia="zh-CN" w:bidi="ar-SA"/>
        </w:rPr>
        <w:t>，</w:t>
      </w:r>
      <w:r>
        <w:rPr>
          <w:rFonts w:hint="eastAsia" w:ascii="仿宋_GB2312" w:hAnsi="仿宋_GB2312" w:eastAsia="仿宋_GB2312" w:cs="仿宋_GB2312"/>
          <w:sz w:val="32"/>
          <w:szCs w:val="32"/>
        </w:rPr>
        <w:t>压缩三公经费开支</w:t>
      </w:r>
      <w:r>
        <w:rPr>
          <w:rStyle w:val="11"/>
          <w:rFonts w:ascii="仿宋_GB2312" w:hAnsi="仿宋_GB2312" w:eastAsia="仿宋_GB2312"/>
          <w:color w:val="000000"/>
          <w:kern w:val="2"/>
          <w:sz w:val="32"/>
          <w:szCs w:val="32"/>
          <w:lang w:val="en-US" w:eastAsia="zh-CN" w:bidi="ar-SA"/>
        </w:rPr>
        <w:t>。</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公务用车购置支出</w:t>
      </w:r>
      <w:r>
        <w:rPr>
          <w:rStyle w:val="11"/>
          <w:rFonts w:ascii="仿宋_GB2312" w:hAnsi="仿宋_GB2312" w:eastAsia="仿宋_GB2312"/>
          <w:color w:val="000000"/>
          <w:kern w:val="2"/>
          <w:sz w:val="32"/>
          <w:szCs w:val="32"/>
          <w:lang w:val="en-US" w:eastAsia="zh-CN" w:bidi="ar-SA"/>
        </w:rPr>
        <w:t>为0万元，我单位无购车。</w:t>
      </w:r>
    </w:p>
    <w:p>
      <w:pPr>
        <w:widowControl/>
        <w:wordWrap/>
        <w:spacing w:line="590" w:lineRule="exact"/>
        <w:ind w:left="0" w:leftChars="0"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公务用车运行支出</w:t>
      </w:r>
      <w:r>
        <w:rPr>
          <w:rStyle w:val="11"/>
          <w:rFonts w:ascii="仿宋_GB2312" w:hAnsi="仿宋_GB2312" w:eastAsia="仿宋_GB2312"/>
          <w:color w:val="000000"/>
          <w:kern w:val="2"/>
          <w:sz w:val="32"/>
          <w:szCs w:val="32"/>
          <w:lang w:val="en-US" w:eastAsia="zh-CN" w:bidi="ar-SA"/>
        </w:rPr>
        <w:t>1.39万元。主要用于</w:t>
      </w:r>
      <w:r>
        <w:rPr>
          <w:rStyle w:val="11"/>
          <w:rFonts w:ascii="仿宋_GB2312" w:hAnsi="仿宋_GB2312" w:eastAsia="仿宋_GB2312"/>
          <w:kern w:val="2"/>
          <w:sz w:val="32"/>
          <w:szCs w:val="22"/>
          <w:lang w:val="en-US" w:eastAsia="zh-CN" w:bidi="ar-SA"/>
        </w:rPr>
        <w:t>开展工作所需公务用车的燃料费、维修费、过路过桥费、保险费、等支出</w:t>
      </w:r>
      <w:r>
        <w:rPr>
          <w:rStyle w:val="11"/>
          <w:rFonts w:ascii="仿宋_GB2312" w:hAnsi="仿宋_GB2312" w:eastAsia="仿宋_GB2312"/>
          <w:color w:val="000000"/>
          <w:kern w:val="2"/>
          <w:sz w:val="32"/>
          <w:szCs w:val="32"/>
          <w:lang w:val="en-US" w:eastAsia="zh-CN" w:bidi="ar-SA"/>
        </w:rPr>
        <w:t>。2019年期末，部门开支财政拨款的公务用车保有量为3辆。</w:t>
      </w:r>
    </w:p>
    <w:p>
      <w:pPr>
        <w:widowControl/>
        <w:numPr>
          <w:ilvl w:val="0"/>
          <w:numId w:val="2"/>
        </w:numPr>
        <w:wordWrap/>
        <w:spacing w:line="590" w:lineRule="exact"/>
        <w:ind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公务接待费</w:t>
      </w:r>
      <w:r>
        <w:rPr>
          <w:rStyle w:val="11"/>
          <w:rFonts w:ascii="仿宋_GB2312" w:hAnsi="仿宋_GB2312" w:eastAsia="仿宋_GB2312"/>
          <w:color w:val="000000"/>
          <w:kern w:val="2"/>
          <w:sz w:val="32"/>
          <w:szCs w:val="32"/>
          <w:lang w:val="en-US" w:eastAsia="zh-CN" w:bidi="ar-SA"/>
        </w:rPr>
        <w:t>初预算为0.5万元，支出决算为0万元，完成年初预算的0%。决算数与年初预算数存在差异的主要原因是规范公务接待活动的范围及标准，减少了相关支出。</w:t>
      </w:r>
    </w:p>
    <w:p>
      <w:pPr>
        <w:widowControl/>
        <w:numPr>
          <w:numId w:val="0"/>
        </w:numPr>
        <w:wordWrap/>
        <w:spacing w:line="590" w:lineRule="exact"/>
        <w:ind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4.外宾接待支出</w:t>
      </w:r>
      <w:r>
        <w:rPr>
          <w:rStyle w:val="11"/>
          <w:rFonts w:ascii="仿宋_GB2312" w:hAnsi="仿宋_GB2312" w:eastAsia="仿宋_GB2312"/>
          <w:color w:val="000000"/>
          <w:kern w:val="2"/>
          <w:sz w:val="32"/>
          <w:szCs w:val="32"/>
          <w:lang w:val="en-US" w:eastAsia="zh-CN" w:bidi="ar-SA"/>
        </w:rPr>
        <w:t>0万元。我单位无外宾接待。</w:t>
      </w:r>
    </w:p>
    <w:p>
      <w:pPr>
        <w:widowControl/>
        <w:numPr>
          <w:numId w:val="0"/>
        </w:numPr>
        <w:wordWrap/>
        <w:spacing w:line="590" w:lineRule="exact"/>
        <w:ind w:right="0" w:firstLine="643"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s="仿宋_GB2312"/>
          <w:b/>
          <w:bCs/>
          <w:color w:val="000000"/>
          <w:kern w:val="2"/>
          <w:sz w:val="32"/>
          <w:szCs w:val="32"/>
          <w:lang w:val="en-US" w:eastAsia="zh-CN" w:bidi="ar-SA"/>
        </w:rPr>
        <w:t>其他国内公务接待支出</w:t>
      </w:r>
      <w:r>
        <w:rPr>
          <w:rStyle w:val="11"/>
          <w:rFonts w:ascii="仿宋_GB2312" w:hAnsi="仿宋_GB2312" w:eastAsia="仿宋_GB2312"/>
          <w:color w:val="000000"/>
          <w:kern w:val="2"/>
          <w:sz w:val="32"/>
          <w:szCs w:val="32"/>
          <w:lang w:val="en-US" w:eastAsia="zh-CN" w:bidi="ar-SA"/>
        </w:rPr>
        <w:t>0万元。我单位无其他国内公务接待。</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八、预算绩效情况说明</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（一）绩效管理工作开展情况。</w:t>
      </w:r>
    </w:p>
    <w:p>
      <w:pPr>
        <w:spacing w:line="590" w:lineRule="exact"/>
        <w:ind w:firstLine="640" w:firstLineChars="200"/>
        <w:jc w:val="both"/>
        <w:textAlignment w:val="baseline"/>
        <w:rPr>
          <w:rStyle w:val="11"/>
          <w:rFonts w:ascii="仿宋_GB2312" w:hAnsi="仿宋_GB2312" w:eastAsia="仿宋_GB2312"/>
          <w:kern w:val="2"/>
          <w:sz w:val="32"/>
          <w:szCs w:val="32"/>
          <w:lang w:val="en-US" w:eastAsia="zh-CN" w:bidi="ar-SA"/>
        </w:rPr>
      </w:pPr>
      <w:r>
        <w:rPr>
          <w:rStyle w:val="11"/>
          <w:rFonts w:ascii="仿宋_GB2312" w:hAnsi="仿宋_GB2312" w:eastAsia="仿宋_GB2312"/>
          <w:kern w:val="2"/>
          <w:sz w:val="32"/>
          <w:szCs w:val="32"/>
          <w:lang w:val="en-US" w:eastAsia="zh-CN" w:bidi="ar-SA"/>
        </w:rPr>
        <w:t>1、加强领导，不断完善绩效考核管理制度。为加强绩效管理工作，我单位完善了各种管理措施，加强与各部门的协调配合，明确责任，细化任务，积极化解工作中存在的问题，有力地推进各项工作的落实。</w:t>
      </w:r>
    </w:p>
    <w:p>
      <w:pPr>
        <w:spacing w:line="590" w:lineRule="exact"/>
        <w:ind w:firstLine="640" w:firstLineChars="200"/>
        <w:jc w:val="both"/>
        <w:textAlignment w:val="baseline"/>
        <w:rPr>
          <w:rStyle w:val="11"/>
          <w:rFonts w:ascii="仿宋_GB2312" w:hAnsi="仿宋_GB2312" w:eastAsia="仿宋_GB2312"/>
          <w:kern w:val="2"/>
          <w:sz w:val="32"/>
          <w:szCs w:val="32"/>
          <w:lang w:val="en-US" w:eastAsia="zh-CN" w:bidi="ar-SA"/>
        </w:rPr>
      </w:pPr>
      <w:r>
        <w:rPr>
          <w:rStyle w:val="11"/>
          <w:rFonts w:ascii="仿宋_GB2312" w:hAnsi="仿宋_GB2312" w:eastAsia="仿宋_GB2312"/>
          <w:kern w:val="2"/>
          <w:sz w:val="32"/>
          <w:szCs w:val="32"/>
          <w:lang w:val="en-US" w:eastAsia="zh-CN" w:bidi="ar-SA"/>
        </w:rPr>
        <w:t>2、强化学习宣传。在绩效管理工作中，我单位组织人员积极学习相关新理论、新方法，不断总结绩效管理过程的经验教训，大力宣传我单位绩效管理工作先进典型和经验。</w:t>
      </w:r>
    </w:p>
    <w:p>
      <w:pPr>
        <w:spacing w:line="590" w:lineRule="exact"/>
        <w:ind w:firstLine="640" w:firstLineChars="200"/>
        <w:jc w:val="both"/>
        <w:textAlignment w:val="baseline"/>
        <w:rPr>
          <w:rStyle w:val="11"/>
          <w:rFonts w:ascii="仿宋_GB2312" w:hAnsi="仿宋_GB2312" w:eastAsia="仿宋_GB2312"/>
          <w:kern w:val="2"/>
          <w:sz w:val="32"/>
          <w:szCs w:val="32"/>
          <w:lang w:val="en-US" w:eastAsia="zh-CN" w:bidi="ar-SA"/>
        </w:rPr>
      </w:pPr>
      <w:r>
        <w:rPr>
          <w:rStyle w:val="11"/>
          <w:rFonts w:ascii="仿宋_GB2312" w:hAnsi="仿宋_GB2312" w:eastAsia="仿宋_GB2312"/>
          <w:kern w:val="2"/>
          <w:sz w:val="32"/>
          <w:szCs w:val="32"/>
          <w:lang w:val="en-US" w:eastAsia="zh-CN" w:bidi="ar-SA"/>
        </w:rPr>
        <w:t>3、大力推进绩效管理工作。我单位制定了考核指标。考核指标的完成情况与工作人员的绩效挂钩，这样调动了工作人员的工作积极性。</w:t>
      </w:r>
    </w:p>
    <w:p>
      <w:pPr>
        <w:spacing w:line="590" w:lineRule="exact"/>
        <w:ind w:firstLine="640" w:firstLineChars="200"/>
        <w:jc w:val="both"/>
        <w:textAlignment w:val="baseline"/>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kern w:val="2"/>
          <w:sz w:val="32"/>
          <w:szCs w:val="32"/>
          <w:lang w:val="en-US" w:eastAsia="zh-CN" w:bidi="ar-SA"/>
        </w:rPr>
        <w:t>4、认真执行绩效管理考核实施办法。</w:t>
      </w:r>
    </w:p>
    <w:p>
      <w:pPr>
        <w:widowControl/>
        <w:wordWrap/>
        <w:spacing w:line="590" w:lineRule="exact"/>
        <w:ind w:left="0" w:leftChars="0" w:right="0" w:firstLine="643" w:firstLineChars="200"/>
        <w:jc w:val="both"/>
        <w:textAlignment w:val="auto"/>
        <w:rPr>
          <w:rStyle w:val="11"/>
          <w:rFonts w:ascii="楷体_GB2312" w:hAnsi="楷体_GB2312" w:eastAsia="楷体_GB2312" w:cs="楷体_GB2312"/>
          <w:b/>
          <w:bCs/>
          <w:color w:val="000000"/>
          <w:kern w:val="2"/>
          <w:sz w:val="32"/>
          <w:szCs w:val="32"/>
          <w:lang w:val="en-US" w:eastAsia="zh-CN" w:bidi="ar-SA"/>
        </w:rPr>
      </w:pPr>
      <w:r>
        <w:rPr>
          <w:rStyle w:val="11"/>
          <w:rFonts w:ascii="楷体_GB2312" w:hAnsi="楷体_GB2312" w:eastAsia="楷体_GB2312" w:cs="楷体_GB2312"/>
          <w:b/>
          <w:bCs/>
          <w:color w:val="000000"/>
          <w:kern w:val="2"/>
          <w:sz w:val="32"/>
          <w:szCs w:val="32"/>
          <w:lang w:val="en-US" w:eastAsia="zh-CN" w:bidi="ar-SA"/>
        </w:rPr>
        <w:t>（二）项目绩效自评结果。</w:t>
      </w:r>
    </w:p>
    <w:p>
      <w:pPr>
        <w:spacing w:line="590" w:lineRule="exact"/>
        <w:ind w:firstLine="800" w:firstLineChars="250"/>
        <w:jc w:val="both"/>
        <w:textAlignment w:val="baseline"/>
        <w:rPr>
          <w:rStyle w:val="11"/>
          <w:rFonts w:ascii="仿宋_GB2312" w:hAnsi="仿宋_GB2312" w:eastAsia="仿宋_GB2312"/>
          <w:kern w:val="2"/>
          <w:sz w:val="32"/>
          <w:szCs w:val="32"/>
          <w:lang w:val="en-US" w:eastAsia="zh-CN" w:bidi="ar-SA"/>
        </w:rPr>
      </w:pPr>
      <w:r>
        <w:rPr>
          <w:rStyle w:val="11"/>
          <w:rFonts w:ascii="仿宋" w:hAnsi="仿宋" w:eastAsia="仿宋"/>
          <w:kern w:val="2"/>
          <w:sz w:val="32"/>
          <w:szCs w:val="32"/>
          <w:lang w:val="en-US" w:eastAsia="zh-CN" w:bidi="ar-SA"/>
        </w:rPr>
        <w:t>1.</w:t>
      </w:r>
      <w:r>
        <w:rPr>
          <w:rStyle w:val="11"/>
          <w:rFonts w:ascii="仿宋_GB2312" w:hAnsi="仿宋_GB2312" w:eastAsia="仿宋_GB2312"/>
          <w:kern w:val="2"/>
          <w:sz w:val="32"/>
          <w:szCs w:val="32"/>
          <w:lang w:val="en-US" w:eastAsia="zh-CN" w:bidi="ar-SA"/>
        </w:rPr>
        <w:t>绩效考核工作的开展，是加强干部队伍建设重要基础，对调动干部的积极性、主动性和创造性，完善激励约束机制，起到了重要作用。</w:t>
      </w:r>
    </w:p>
    <w:p>
      <w:pPr>
        <w:spacing w:line="590" w:lineRule="exact"/>
        <w:ind w:firstLine="640" w:firstLineChars="200"/>
        <w:jc w:val="both"/>
        <w:textAlignment w:val="baseline"/>
        <w:rPr>
          <w:rStyle w:val="11"/>
          <w:rFonts w:ascii="仿宋_GB2312" w:hAnsi="仿宋_GB2312" w:eastAsia="仿宋_GB2312"/>
          <w:kern w:val="2"/>
          <w:sz w:val="32"/>
          <w:szCs w:val="32"/>
          <w:lang w:val="en-US" w:eastAsia="zh-CN" w:bidi="ar-SA"/>
        </w:rPr>
      </w:pPr>
      <w:r>
        <w:rPr>
          <w:rStyle w:val="11"/>
          <w:rFonts w:eastAsia="仿宋"/>
          <w:kern w:val="2"/>
          <w:sz w:val="32"/>
          <w:szCs w:val="32"/>
          <w:lang w:val="en-US" w:eastAsia="zh-CN" w:bidi="ar-SA"/>
        </w:rPr>
        <w:t>2</w:t>
      </w:r>
      <w:r>
        <w:rPr>
          <w:rStyle w:val="11"/>
          <w:rFonts w:ascii="仿宋" w:hAnsi="仿宋" w:eastAsia="仿宋"/>
          <w:kern w:val="2"/>
          <w:sz w:val="32"/>
          <w:szCs w:val="32"/>
          <w:lang w:val="en-US" w:eastAsia="zh-CN" w:bidi="ar-SA"/>
        </w:rPr>
        <w:t>.</w:t>
      </w:r>
      <w:r>
        <w:rPr>
          <w:rStyle w:val="11"/>
          <w:rFonts w:ascii="仿宋_GB2312" w:hAnsi="仿宋_GB2312" w:eastAsia="仿宋_GB2312"/>
          <w:kern w:val="2"/>
          <w:sz w:val="32"/>
          <w:szCs w:val="32"/>
          <w:lang w:val="en-US" w:eastAsia="zh-CN" w:bidi="ar-SA"/>
        </w:rPr>
        <w:t>与各部门之间就管理工作、经营工作方面的沟通比以前好多了，达到“发现问题，解决问题”的目的。</w:t>
      </w:r>
    </w:p>
    <w:p>
      <w:pPr>
        <w:widowControl/>
        <w:wordWrap/>
        <w:spacing w:line="590" w:lineRule="exact"/>
        <w:ind w:left="0" w:leftChars="0" w:right="0" w:firstLine="640" w:firstLineChars="200"/>
        <w:jc w:val="both"/>
        <w:textAlignment w:val="auto"/>
        <w:rPr>
          <w:rStyle w:val="11"/>
          <w:rFonts w:ascii="仿宋_GB2312" w:hAnsi="仿宋_GB2312" w:eastAsia="仿宋_GB2312"/>
          <w:kern w:val="2"/>
          <w:sz w:val="32"/>
          <w:szCs w:val="32"/>
          <w:lang w:val="en-US" w:eastAsia="zh-CN" w:bidi="ar-SA"/>
        </w:rPr>
      </w:pPr>
      <w:r>
        <w:rPr>
          <w:rStyle w:val="11"/>
          <w:rFonts w:ascii="仿宋" w:hAnsi="仿宋" w:eastAsia="仿宋"/>
          <w:kern w:val="2"/>
          <w:sz w:val="32"/>
          <w:szCs w:val="32"/>
          <w:lang w:val="en-US" w:eastAsia="zh-CN" w:bidi="ar-SA"/>
        </w:rPr>
        <w:t>3.</w:t>
      </w:r>
      <w:r>
        <w:rPr>
          <w:rStyle w:val="11"/>
          <w:rFonts w:ascii="仿宋_GB2312" w:hAnsi="仿宋_GB2312" w:eastAsia="仿宋_GB2312"/>
          <w:kern w:val="2"/>
          <w:sz w:val="32"/>
          <w:szCs w:val="32"/>
          <w:lang w:val="en-US" w:eastAsia="zh-CN" w:bidi="ar-SA"/>
        </w:rPr>
        <w:t>在绩效管理工作中，在一定程度上促使全体人员都比较重视绩效考核，为提高服务质量和工作效能，确保各项工作任务圆满完成提供了有力保障。</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九、政府性基金预算财政拨款支出决算情况说明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2019年度政府性基金预算财政拨款支出年初预算为0万元，支出决算为0万元，完成年初预算的0%。</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2019年度没有政府性基金收入，也没有使用政府性基金安排的支出。</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十、机关运行经费支出情况说明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2019年度机关运行经费初预算为24.58万元，支出决算为43.29万元，完成年初预算的176.12%。决算数与年初预算数存在差异的主要原因是1.人员增加，固定资产相应增加；2.项目增加，各项费用相应增加。</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十一、政府采购支出情况说明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2019年度政府采购支出总额0万元。我单位无政府采购这项工作。</w:t>
      </w:r>
    </w:p>
    <w:p>
      <w:pPr>
        <w:widowControl/>
        <w:wordWrap/>
        <w:spacing w:line="590" w:lineRule="exact"/>
        <w:ind w:left="0" w:leftChars="0" w:right="0" w:firstLine="640" w:firstLineChars="200"/>
        <w:jc w:val="both"/>
        <w:textAlignment w:val="auto"/>
        <w:rPr>
          <w:rStyle w:val="11"/>
          <w:rFonts w:ascii="黑体" w:hAnsi="黑体" w:eastAsia="黑体"/>
          <w:color w:val="000000"/>
          <w:kern w:val="2"/>
          <w:sz w:val="32"/>
          <w:szCs w:val="32"/>
          <w:lang w:val="en-US" w:eastAsia="zh-CN" w:bidi="ar-SA"/>
        </w:rPr>
      </w:pPr>
      <w:r>
        <w:rPr>
          <w:rStyle w:val="11"/>
          <w:rFonts w:ascii="黑体" w:hAnsi="黑体" w:eastAsia="黑体"/>
          <w:color w:val="000000"/>
          <w:kern w:val="2"/>
          <w:sz w:val="32"/>
          <w:szCs w:val="32"/>
          <w:lang w:val="en-US" w:eastAsia="zh-CN" w:bidi="ar-SA"/>
        </w:rPr>
        <w:t>十二、国有资产占用情况说明</w:t>
      </w:r>
    </w:p>
    <w:p>
      <w:pPr>
        <w:widowControl/>
        <w:wordWrap/>
        <w:spacing w:line="590" w:lineRule="exact"/>
        <w:ind w:left="0" w:leftChars="0" w:right="0" w:firstLine="640" w:firstLineChars="200"/>
        <w:jc w:val="both"/>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2019年期末，三门峡市湖滨区农业畜牧局共有车辆3辆，其中：一般公务用车2辆、一般执法执勤用车1辆、特种专业技术用车0辆，其他用车0辆；单位价值50万元以上通用设备0台（套），单位价值100万元以上专用设备0台（套）。</w:t>
      </w: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widowControl/>
        <w:jc w:val="left"/>
        <w:textAlignment w:val="baseline"/>
        <w:rPr>
          <w:rStyle w:val="11"/>
          <w:rFonts w:ascii="黑体" w:hAnsi="宋体" w:eastAsia="黑体"/>
          <w:color w:val="000000"/>
          <w:kern w:val="0"/>
          <w:sz w:val="28"/>
          <w:szCs w:val="28"/>
          <w:lang w:val="en-US" w:eastAsia="zh-CN" w:bidi="ar-SA"/>
        </w:rPr>
      </w:pPr>
    </w:p>
    <w:p>
      <w:pPr>
        <w:jc w:val="center"/>
        <w:textAlignment w:val="baseline"/>
        <w:rPr>
          <w:rStyle w:val="11"/>
          <w:rFonts w:ascii="黑体" w:hAnsi="黑体" w:eastAsia="黑体"/>
          <w:color w:val="000000"/>
          <w:kern w:val="2"/>
          <w:sz w:val="48"/>
          <w:szCs w:val="48"/>
          <w:lang w:val="en-US" w:eastAsia="zh-CN" w:bidi="ar-SA"/>
        </w:rPr>
      </w:pPr>
      <w:r>
        <w:rPr>
          <w:rStyle w:val="11"/>
          <w:rFonts w:ascii="黑体" w:hAnsi="黑体" w:eastAsia="黑体"/>
          <w:color w:val="000000"/>
          <w:kern w:val="2"/>
          <w:sz w:val="48"/>
          <w:szCs w:val="48"/>
          <w:lang w:val="en-US" w:eastAsia="zh-CN" w:bidi="ar-SA"/>
        </w:rPr>
        <w:t>第四部分  名词解释</w:t>
      </w:r>
    </w:p>
    <w:p>
      <w:pPr>
        <w:jc w:val="center"/>
        <w:textAlignment w:val="baseline"/>
        <w:rPr>
          <w:rStyle w:val="11"/>
          <w:rFonts w:ascii="黑体" w:hAnsi="黑体" w:eastAsia="黑体"/>
          <w:color w:val="000000"/>
          <w:kern w:val="2"/>
          <w:sz w:val="48"/>
          <w:szCs w:val="48"/>
          <w:lang w:val="en-US" w:eastAsia="zh-CN" w:bidi="ar-SA"/>
        </w:rPr>
      </w:pPr>
    </w:p>
    <w:p>
      <w:pPr>
        <w:jc w:val="center"/>
        <w:textAlignment w:val="baseline"/>
        <w:sectPr>
          <w:pgSz w:w="11906" w:h="16838"/>
          <w:pgMar w:top="1440" w:right="1531" w:bottom="1440" w:left="1587" w:header="850" w:footer="992" w:gutter="0"/>
          <w:lnNumType w:countBy="0"/>
          <w:cols w:space="720" w:num="1"/>
          <w:docGrid w:type="lines" w:linePitch="317"/>
        </w:sectPr>
      </w:pP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b w:val="0"/>
          <w:bCs w:val="0"/>
          <w:color w:val="000000"/>
          <w:kern w:val="2"/>
          <w:sz w:val="32"/>
          <w:szCs w:val="32"/>
          <w:lang w:val="en-US" w:eastAsia="zh-CN" w:bidi="ar-SA"/>
        </w:rPr>
        <w:t>一、财政拨款收入：</w:t>
      </w:r>
      <w:r>
        <w:rPr>
          <w:rStyle w:val="11"/>
          <w:rFonts w:ascii="仿宋_GB2312" w:hAnsi="仿宋_GB2312" w:eastAsia="仿宋_GB2312"/>
          <w:color w:val="000000"/>
          <w:kern w:val="2"/>
          <w:sz w:val="32"/>
          <w:szCs w:val="32"/>
          <w:lang w:val="en-US" w:eastAsia="zh-CN" w:bidi="ar-SA"/>
        </w:rPr>
        <w:t>单位从同级政府财政部门取得的财政预算资金。</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二、事业收入：事业单位开展专业业务活动及其辅助活动取得的收入。</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三、上级补助收入：事业单位从主管部门和上级单位取得的非财政补助收入。</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四、附属单位上缴收入：事业单位取得附属独立核算单位根据有关规定上缴的收入。</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五、经营收入：事业单位在专业业务活动及其辅助活动之外开展非独立核算经营活动取得的收入。</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六、其他收入：单位取得的除“财政拨款收入”、“事业收入”、“上级补助收入”、“附属单位上缴收入”、“经营收入”以外的各项收入。</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八、基本支出：为保障机构正常运转、完成日常工作任务而发生的人员支出和公用支出。</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九、项目支出：基本支出之外为完成特定行政任务和事业发展目标所发生的支出。</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十二、工资福利支出：单位支付给在职职工和编制外长期聘用人员的各类劳动报酬，以及为上述人员缴纳的各项社会保险费等。</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十三、商品和服务支出：单位购买商品和服务的支出。</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十四、对个人和家庭的补助支出：单位用于对个人和家庭的补助支出。</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十五、年末结转：本年度或以前年度预算安排，已执行但尚未完成或因客观条件发生变化无法按原计划实施，需延迟到以后年度按有关规定继续使用的资金。</w:t>
      </w:r>
    </w:p>
    <w:p>
      <w:pPr>
        <w:widowControl/>
        <w:wordWrap/>
        <w:spacing w:line="590" w:lineRule="exact"/>
        <w:ind w:left="0" w:leftChars="0" w:right="0" w:firstLine="640" w:firstLineChars="200"/>
        <w:jc w:val="left"/>
        <w:textAlignment w:val="auto"/>
        <w:rPr>
          <w:rStyle w:val="11"/>
          <w:rFonts w:ascii="仿宋_GB2312" w:hAnsi="仿宋_GB2312" w:eastAsia="仿宋_GB2312"/>
          <w:color w:val="000000"/>
          <w:kern w:val="2"/>
          <w:sz w:val="32"/>
          <w:szCs w:val="32"/>
          <w:lang w:val="en-US" w:eastAsia="zh-CN" w:bidi="ar-SA"/>
        </w:rPr>
      </w:pPr>
      <w:r>
        <w:rPr>
          <w:rStyle w:val="11"/>
          <w:rFonts w:ascii="仿宋_GB2312" w:hAnsi="仿宋_GB2312" w:eastAsia="仿宋_GB2312"/>
          <w:color w:val="000000"/>
          <w:kern w:val="2"/>
          <w:sz w:val="32"/>
          <w:szCs w:val="32"/>
          <w:lang w:val="en-US" w:eastAsia="zh-CN" w:bidi="ar-SA"/>
        </w:rPr>
        <w:t>十六、年末结余：本年度或以前年度预算安排，已执行完毕或因客观条件发生变化无法按原预算安排实施，不需要再使用或无法按原预算安排继续使用的资金</w:t>
      </w:r>
    </w:p>
    <w:sectPr>
      <w:pgSz w:w="11906" w:h="16838"/>
      <w:pgMar w:top="1928" w:right="1474" w:bottom="1701" w:left="1588" w:header="851" w:footer="992" w:gutter="0"/>
      <w:lnNumType w:countBy="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widowControl/>
      <w:snapToGrid w:val="0"/>
      <w:jc w:val="left"/>
      <w:textAlignment w:val="baseline"/>
      <w:rPr>
        <w:rStyle w:val="11"/>
        <w:kern w:val="2"/>
        <w:sz w:val="18"/>
        <w:szCs w:val="18"/>
        <w:lang w:val="en-US" w:eastAsia="zh-CN" w:bidi="ar-SA"/>
      </w:rPr>
    </w:pPr>
    <w:r>
      <w:rPr>
        <w:rFonts w:ascii="Times New Roman" w:hAnsi="Times New Roman" w:eastAsia="宋体" w:cs="Times New Roman"/>
        <w:kern w:val="2"/>
        <w:sz w:val="18"/>
        <w:szCs w:val="18"/>
        <w:lang w:val="en-US" w:eastAsia="zh-CN" w:bidi="ar-SA"/>
      </w:rPr>
      <w:pict>
        <v:shape id="_x0000_s2050" o:spid="_x0000_s1027" type="#_x0000_t202" style="position:absolute;left:0;margin-top:0pt;height:144pt;width:144pt;mso-position-horizontal:center;mso-position-horizontal-relative:margin;rotation:0f;z-index:25166028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jc w:val="both"/>
                  <w:textAlignment w:val="baseline"/>
                  <w:rPr>
                    <w:rStyle w:val="11"/>
                    <w:rFonts w:eastAsia="宋体"/>
                    <w:kern w:val="2"/>
                    <w:sz w:val="18"/>
                    <w:szCs w:val="22"/>
                    <w:lang w:val="en-US" w:eastAsia="zh-CN" w:bidi="ar-SA"/>
                  </w:rPr>
                </w:pPr>
              </w:p>
              <w:p>
                <w:pPr>
                  <w:jc w:val="both"/>
                  <w:textAlignment w:val="baseline"/>
                  <w:rPr>
                    <w:rStyle w:val="11"/>
                    <w:kern w:val="2"/>
                    <w:sz w:val="21"/>
                    <w:szCs w:val="22"/>
                    <w:lang w:val="en-US" w:eastAsia="zh-CN" w:bidi="ar-SA"/>
                  </w:rPr>
                </w:pPr>
              </w:p>
            </w:txbxContent>
          </v:textbox>
        </v:shape>
      </w:pict>
    </w:r>
    <w:r>
      <w:rPr>
        <w:rFonts w:ascii="Times New Roman" w:hAnsi="Times New Roman" w:eastAsia="宋体" w:cs="Times New Roman"/>
        <w:kern w:val="2"/>
        <w:sz w:val="18"/>
        <w:szCs w:val="18"/>
        <w:lang w:val="en-US" w:eastAsia="zh-CN" w:bidi="ar-SA"/>
      </w:rPr>
      <w:pict>
        <v:shape id="_x0000_s2051" o:spid="_x0000_s1025" type="#_x0000_t202" style="position:absolute;left:0;margin-top:0pt;height:144pt;width:144pt;mso-position-horizontal:center;mso-position-horizontal-relative:margin;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jc w:val="both"/>
                  <w:textAlignment w:val="baseline"/>
                  <w:rPr>
                    <w:rStyle w:val="11"/>
                    <w:kern w:val="2"/>
                    <w:sz w:val="21"/>
                    <w:szCs w:val="22"/>
                    <w:lang w:val="en-US" w:eastAsia="zh-CN" w:bidi="ar-SA"/>
                  </w:rPr>
                </w:pPr>
              </w:p>
              <w:p>
                <w:pPr>
                  <w:jc w:val="both"/>
                  <w:textAlignment w:val="baseline"/>
                  <w:rPr>
                    <w:rStyle w:val="11"/>
                    <w:kern w:val="2"/>
                    <w:sz w:val="21"/>
                    <w:szCs w:val="22"/>
                    <w:lang w:val="en-US" w:eastAsia="zh-CN" w:bidi="ar-SA"/>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widowControl/>
      <w:snapToGrid w:val="0"/>
      <w:jc w:val="left"/>
      <w:textAlignment w:val="baseline"/>
      <w:rPr>
        <w:rStyle w:val="11"/>
        <w:kern w:val="2"/>
        <w:sz w:val="18"/>
        <w:szCs w:val="18"/>
        <w:lang w:val="en-US" w:eastAsia="zh-CN" w:bidi="ar-SA"/>
      </w:rPr>
    </w:pPr>
    <w:r>
      <w:rPr>
        <w:rFonts w:ascii="Times New Roman" w:hAnsi="Times New Roman" w:eastAsia="宋体" w:cs="Times New Roman"/>
        <w:kern w:val="2"/>
        <w:sz w:val="18"/>
        <w:szCs w:val="18"/>
        <w:lang w:val="en-US" w:eastAsia="zh-CN" w:bidi="ar-SA"/>
      </w:rPr>
      <w:pict>
        <v:shape id="_x0000_s2049" o:spid="_x0000_s1026" type="#_x0000_t202" style="position:absolute;left:0;margin-top:0pt;height:144pt;width:144pt;mso-position-horizontal:center;mso-position-horizontal-relative:margin;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jc w:val="both"/>
                  <w:textAlignment w:val="baseline"/>
                  <w:rPr>
                    <w:rStyle w:val="11"/>
                    <w:rFonts w:eastAsia="宋体"/>
                    <w:kern w:val="2"/>
                    <w:sz w:val="18"/>
                    <w:szCs w:val="22"/>
                    <w:lang w:val="en-US" w:eastAsia="zh-CN" w:bidi="ar-SA"/>
                  </w:rPr>
                </w:pPr>
              </w:p>
              <w:p>
                <w:pPr>
                  <w:jc w:val="both"/>
                  <w:textAlignment w:val="baseline"/>
                  <w:rPr>
                    <w:rStyle w:val="11"/>
                    <w:kern w:val="2"/>
                    <w:sz w:val="21"/>
                    <w:szCs w:val="22"/>
                    <w:lang w:val="en-US" w:eastAsia="zh-CN" w:bidi="ar-SA"/>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
    <w:nsid w:val="00000004"/>
    <w:multiLevelType w:val="singleLevel"/>
    <w:tmpl w:val="00000004"/>
    <w:lvl w:ilvl="0" w:tentative="1">
      <w:start w:val="1"/>
      <w:numFmt w:val="chineseCounting"/>
      <w:suff w:val="nothing"/>
      <w:lvlText w:val="%1、"/>
      <w:lvlJc w:val="left"/>
    </w:lvl>
  </w:abstractNum>
  <w:abstractNum w:abstractNumId="5">
    <w:nsid w:val="00000005"/>
    <w:multiLevelType w:val="singleLevel"/>
    <w:tmpl w:val="00000005"/>
    <w:lvl w:ilvl="0" w:tentative="1">
      <w:start w:val="3"/>
      <w:numFmt w:val="decimal"/>
      <w:lvlText w:val="%1."/>
      <w:lvlJc w:val="left"/>
      <w:pPr>
        <w:tabs>
          <w:tab w:val="left" w:pos="312"/>
        </w:tabs>
      </w:pPr>
    </w:lvl>
  </w:abstractNum>
  <w:num w:numId="1">
    <w:abstractNumId w:val="4"/>
  </w:num>
  <w:num w:numId="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evenAndOddHeaders w:val="1"/>
  <w:displayHorizontalDrawingGridEvery w:val="1"/>
  <w:displayVerticalDrawingGridEvery w:val="1"/>
  <w:doNotUseMarginsForDrawingGridOrigin w:val="1"/>
  <w:drawingGridHorizontalOrigin w:val="1800"/>
  <w:drawingGridVerticalOrigin w:val="1440"/>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style w:type="paragraph" w:default="1" w:styleId="1">
    <w:name w:val="Normal"/>
    <w:pPr>
      <w:jc w:val="both"/>
      <w:textAlignment w:val="baseline"/>
    </w:pPr>
    <w:rPr>
      <w:rFonts w:ascii="Times New Roman" w:hAnsi="Times New Roman" w:eastAsia="宋体" w:cs="Times New Roman"/>
      <w:kern w:val="2"/>
      <w:sz w:val="21"/>
      <w:szCs w:val="22"/>
      <w:lang w:val="en-US" w:eastAsia="zh-CN" w:bidi="ar-SA"/>
    </w:rPr>
  </w:style>
  <w:style w:type="character" w:default="1" w:styleId="4">
    <w:name w:val="Default Paragraph Font"/>
  </w:style>
  <w:style w:type="paragraph" w:styleId="2">
    <w:name w:val="footer"/>
    <w:basedOn w:val="1"/>
    <w:link w:val="18"/>
    <w:pPr>
      <w:tabs>
        <w:tab w:val="center" w:pos="4153"/>
        <w:tab w:val="right" w:pos="8306"/>
      </w:tabs>
      <w:snapToGrid w:val="0"/>
      <w:jc w:val="left"/>
      <w:textAlignment w:val="baseline"/>
    </w:pPr>
    <w:rPr>
      <w:kern w:val="2"/>
      <w:sz w:val="18"/>
      <w:szCs w:val="18"/>
    </w:rPr>
  </w:style>
  <w:style w:type="paragraph" w:styleId="3">
    <w:name w:val="header"/>
    <w:basedOn w:val="1"/>
    <w:link w:val="12"/>
    <w:pPr>
      <w:pBdr>
        <w:bottom w:val="single" w:color="000000" w:sz="6" w:space="1"/>
      </w:pBdr>
      <w:tabs>
        <w:tab w:val="center" w:pos="4153"/>
        <w:tab w:val="right" w:pos="8306"/>
      </w:tabs>
      <w:snapToGrid w:val="0"/>
      <w:jc w:val="center"/>
      <w:textAlignment w:val="baseline"/>
    </w:pPr>
    <w:rPr>
      <w:kern w:val="2"/>
      <w:sz w:val="18"/>
      <w:szCs w:val="18"/>
    </w:rPr>
  </w:style>
  <w:style w:type="character" w:styleId="5">
    <w:name w:val="FollowedHyperlink"/>
    <w:rPr>
      <w:color w:val="800080"/>
      <w:u w:val="single"/>
    </w:rPr>
  </w:style>
  <w:style w:type="character" w:styleId="6">
    <w:name w:val="Hyperlink"/>
    <w:rPr>
      <w:color w:val="0000FF"/>
      <w:u w:val="single"/>
    </w:rPr>
  </w:style>
  <w:style w:type="paragraph" w:customStyle="1" w:styleId="7">
    <w:name w:val="Heading1"/>
    <w:basedOn w:val="1"/>
    <w:next w:val="1"/>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8">
    <w:name w:val="Acetate"/>
    <w:basedOn w:val="1"/>
    <w:link w:val="16"/>
    <w:pPr>
      <w:jc w:val="both"/>
      <w:textAlignment w:val="baseline"/>
    </w:pPr>
    <w:rPr>
      <w:kern w:val="2"/>
      <w:sz w:val="18"/>
      <w:szCs w:val="18"/>
    </w:rPr>
  </w:style>
  <w:style w:type="paragraph" w:customStyle="1" w:styleId="9">
    <w:name w:val="AnnotationText"/>
    <w:basedOn w:val="1"/>
    <w:pPr>
      <w:jc w:val="left"/>
      <w:textAlignment w:val="baseline"/>
    </w:pPr>
  </w:style>
  <w:style w:type="paragraph" w:customStyle="1" w:styleId="10">
    <w:name w:val="UserStyle_8"/>
    <w:basedOn w:val="7"/>
    <w:pPr>
      <w:keepNext/>
      <w:keepLines/>
      <w:spacing w:before="0" w:after="0" w:line="240" w:lineRule="auto"/>
      <w:jc w:val="center"/>
      <w:textAlignment w:val="baseline"/>
    </w:pPr>
    <w:rPr>
      <w:rFonts w:ascii="华文中宋" w:hAnsi="华文中宋" w:eastAsia="华文中宋" w:cs="Times New Roman"/>
      <w:kern w:val="44"/>
      <w:sz w:val="36"/>
      <w:szCs w:val="36"/>
      <w:lang w:val="en-US" w:eastAsia="zh-CN" w:bidi="ar-SA"/>
    </w:rPr>
  </w:style>
  <w:style w:type="character" w:customStyle="1" w:styleId="11">
    <w:name w:val="NormalCharacter"/>
  </w:style>
  <w:style w:type="character" w:customStyle="1" w:styleId="12">
    <w:name w:val="UserStyle_0"/>
    <w:link w:val="3"/>
    <w:semiHidden/>
    <w:rPr>
      <w:kern w:val="2"/>
      <w:sz w:val="18"/>
      <w:szCs w:val="18"/>
    </w:rPr>
  </w:style>
  <w:style w:type="character" w:customStyle="1" w:styleId="13">
    <w:name w:val="UserStyle_1"/>
    <w:basedOn w:val="11"/>
    <w:rPr>
      <w:rFonts w:ascii="宋体" w:hAnsi="宋体" w:eastAsia="宋体"/>
      <w:color w:val="000000"/>
      <w:sz w:val="22"/>
      <w:szCs w:val="22"/>
    </w:rPr>
  </w:style>
  <w:style w:type="character" w:customStyle="1" w:styleId="14">
    <w:name w:val="UserStyle_2"/>
    <w:basedOn w:val="11"/>
    <w:rPr>
      <w:rFonts w:ascii="宋体" w:hAnsi="宋体" w:eastAsia="宋体"/>
      <w:color w:val="000000"/>
      <w:sz w:val="24"/>
      <w:szCs w:val="24"/>
    </w:rPr>
  </w:style>
  <w:style w:type="character" w:customStyle="1" w:styleId="15">
    <w:name w:val="UserStyle_3"/>
    <w:basedOn w:val="11"/>
    <w:rPr>
      <w:rFonts w:ascii="宋体" w:hAnsi="宋体" w:eastAsia="宋体"/>
      <w:color w:val="000000"/>
      <w:sz w:val="20"/>
      <w:szCs w:val="20"/>
    </w:rPr>
  </w:style>
  <w:style w:type="character" w:customStyle="1" w:styleId="16">
    <w:name w:val="UserStyle_4"/>
    <w:basedOn w:val="11"/>
    <w:link w:val="8"/>
    <w:semiHidden/>
    <w:rPr>
      <w:kern w:val="2"/>
      <w:sz w:val="18"/>
      <w:szCs w:val="18"/>
    </w:rPr>
  </w:style>
  <w:style w:type="character" w:customStyle="1" w:styleId="17">
    <w:name w:val="UserStyle_5"/>
    <w:basedOn w:val="11"/>
    <w:rPr>
      <w:rFonts w:ascii="宋体" w:hAnsi="宋体" w:eastAsia="宋体"/>
      <w:color w:val="000000"/>
      <w:sz w:val="22"/>
      <w:szCs w:val="22"/>
    </w:rPr>
  </w:style>
  <w:style w:type="character" w:customStyle="1" w:styleId="18">
    <w:name w:val="UserStyle_6"/>
    <w:link w:val="2"/>
    <w:semiHidden/>
    <w:rPr>
      <w:kern w:val="2"/>
      <w:sz w:val="18"/>
      <w:szCs w:val="18"/>
    </w:rPr>
  </w:style>
  <w:style w:type="character" w:customStyle="1" w:styleId="19">
    <w:name w:val="UserStyle_7"/>
    <w:basedOn w:val="11"/>
    <w:rPr>
      <w:rFonts w:ascii="宋体" w:hAnsi="宋体" w:eastAsia="宋体"/>
      <w:color w:val="00000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2021-06-08T14:49:00Z</dcterms:created>
  <dc:creator>淑云</dc:creator>
  <dcterms:modified xsi:type="dcterms:W3CDTF">2021-06-09T15:14:49Z</dcterms:modified>
  <dc:title>火树银花</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