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Default ContentType="image/png" Extension="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jc w:val="left"/>
        <w:rPr>
          <w:rFonts w:ascii="黑体" w:hAnsi="黑体" w:eastAsia="黑体" w:cs="宋体"/>
          <w:sz w:val="36"/>
          <w:szCs w:val="36"/>
        </w:rPr>
      </w:pPr>
    </w:p>
    <w:p>
      <w:pPr>
        <w:widowControl/>
        <w:jc w:val="left"/>
        <w:rPr>
          <w:rFonts w:ascii="黑体" w:hAnsi="黑体" w:eastAsia="黑体" w:cs="宋体"/>
          <w:sz w:val="36"/>
          <w:szCs w:val="36"/>
        </w:rPr>
      </w:pPr>
    </w:p>
    <w:p>
      <w:pPr>
        <w:widowControl/>
        <w:jc w:val="left"/>
        <w:rPr>
          <w:rFonts w:ascii="黑体" w:hAnsi="黑体" w:eastAsia="黑体" w:cs="宋体"/>
          <w:sz w:val="36"/>
          <w:szCs w:val="36"/>
        </w:rPr>
      </w:pPr>
    </w:p>
    <w:p>
      <w:pPr>
        <w:widowControl/>
        <w:jc w:val="left"/>
        <w:rPr>
          <w:rFonts w:ascii="黑体" w:hAnsi="黑体" w:eastAsia="黑体" w:cs="宋体"/>
          <w:sz w:val="36"/>
          <w:szCs w:val="36"/>
        </w:rPr>
      </w:pPr>
    </w:p>
    <w:p>
      <w:pPr>
        <w:widowControl/>
        <w:jc w:val="left"/>
        <w:rPr>
          <w:rFonts w:ascii="黑体" w:hAnsi="黑体" w:eastAsia="黑体" w:cs="宋体"/>
          <w:sz w:val="36"/>
          <w:szCs w:val="36"/>
        </w:rPr>
      </w:pPr>
    </w:p>
    <w:p>
      <w:pPr>
        <w:widowControl/>
        <w:jc w:val="center"/>
        <w:rPr>
          <w:rFonts w:hint="eastAsia" w:ascii="黑体" w:hAnsi="黑体" w:eastAsia="黑体" w:cs="黑体"/>
          <w:sz w:val="52"/>
          <w:szCs w:val="52"/>
        </w:rPr>
      </w:pPr>
      <w:r>
        <w:rPr>
          <w:rFonts w:hint="eastAsia" w:ascii="黑体" w:hAnsi="黑体" w:eastAsia="黑体" w:cs="黑体"/>
          <w:sz w:val="52"/>
          <w:szCs w:val="52"/>
          <w:lang w:eastAsia="zh-CN"/>
        </w:rPr>
        <w:t>2019</w:t>
      </w:r>
      <w:r>
        <w:rPr>
          <w:rFonts w:hint="eastAsia" w:ascii="黑体" w:hAnsi="黑体" w:eastAsia="黑体" w:cs="黑体"/>
          <w:sz w:val="52"/>
          <w:szCs w:val="52"/>
        </w:rPr>
        <w:t>年度中共三门峡市湖滨区委</w:t>
      </w:r>
    </w:p>
    <w:p>
      <w:pPr>
        <w:widowControl/>
        <w:jc w:val="center"/>
        <w:rPr>
          <w:rFonts w:ascii="黑体" w:hAnsi="黑体" w:eastAsia="黑体" w:cs="黑体"/>
          <w:sz w:val="52"/>
          <w:szCs w:val="52"/>
        </w:rPr>
      </w:pPr>
      <w:r>
        <w:rPr>
          <w:rFonts w:hint="eastAsia" w:ascii="黑体" w:hAnsi="黑体" w:eastAsia="黑体" w:cs="黑体"/>
          <w:sz w:val="52"/>
          <w:szCs w:val="52"/>
        </w:rPr>
        <w:t>统战部</w:t>
      </w:r>
      <w:bookmarkStart w:id="0" w:name="_GoBack"/>
      <w:bookmarkEnd w:id="0"/>
      <w:r>
        <w:rPr>
          <w:rFonts w:hint="eastAsia" w:ascii="黑体" w:hAnsi="黑体" w:eastAsia="黑体" w:cs="黑体"/>
          <w:sz w:val="52"/>
          <w:szCs w:val="52"/>
        </w:rPr>
        <w:t>部门决算</w:t>
      </w:r>
    </w:p>
    <w:p>
      <w:pPr>
        <w:widowControl/>
        <w:ind w:firstLine="960" w:firstLineChars="200"/>
        <w:jc w:val="left"/>
        <w:rPr>
          <w:rFonts w:ascii="黑体" w:hAnsi="黑体" w:eastAsia="黑体" w:cs="黑体"/>
          <w:sz w:val="48"/>
          <w:szCs w:val="48"/>
        </w:rPr>
      </w:pPr>
    </w:p>
    <w:p>
      <w:pPr>
        <w:widowControl/>
        <w:ind w:firstLine="960" w:firstLineChars="200"/>
        <w:jc w:val="left"/>
        <w:rPr>
          <w:rFonts w:ascii="黑体" w:hAnsi="黑体" w:eastAsia="黑体" w:cs="黑体"/>
          <w:sz w:val="48"/>
          <w:szCs w:val="48"/>
        </w:rPr>
      </w:pPr>
    </w:p>
    <w:p>
      <w:pPr>
        <w:widowControl/>
        <w:ind w:firstLine="960" w:firstLineChars="200"/>
        <w:jc w:val="left"/>
        <w:rPr>
          <w:rFonts w:ascii="黑体" w:hAnsi="黑体" w:eastAsia="黑体" w:cs="黑体"/>
          <w:sz w:val="48"/>
          <w:szCs w:val="48"/>
        </w:rPr>
      </w:pPr>
    </w:p>
    <w:p>
      <w:pPr>
        <w:widowControl/>
        <w:ind w:firstLine="960" w:firstLineChars="200"/>
        <w:jc w:val="left"/>
        <w:rPr>
          <w:rFonts w:ascii="黑体" w:hAnsi="黑体" w:eastAsia="黑体" w:cs="黑体"/>
          <w:sz w:val="48"/>
          <w:szCs w:val="48"/>
        </w:rPr>
      </w:pPr>
    </w:p>
    <w:p>
      <w:pPr>
        <w:widowControl/>
        <w:ind w:firstLine="960" w:firstLineChars="200"/>
        <w:jc w:val="left"/>
        <w:rPr>
          <w:rFonts w:ascii="黑体" w:hAnsi="黑体" w:eastAsia="黑体" w:cs="黑体"/>
          <w:sz w:val="48"/>
          <w:szCs w:val="48"/>
        </w:rPr>
      </w:pPr>
    </w:p>
    <w:p>
      <w:pPr>
        <w:widowControl/>
        <w:ind w:firstLine="960" w:firstLineChars="200"/>
        <w:jc w:val="left"/>
        <w:rPr>
          <w:rFonts w:ascii="黑体" w:hAnsi="黑体" w:eastAsia="黑体" w:cs="黑体"/>
          <w:sz w:val="48"/>
          <w:szCs w:val="48"/>
        </w:rPr>
      </w:pPr>
    </w:p>
    <w:p>
      <w:pPr>
        <w:widowControl/>
        <w:ind w:firstLine="960" w:firstLineChars="200"/>
        <w:jc w:val="left"/>
        <w:rPr>
          <w:rFonts w:ascii="黑体" w:hAnsi="黑体" w:eastAsia="黑体" w:cs="黑体"/>
          <w:sz w:val="48"/>
          <w:szCs w:val="48"/>
        </w:rPr>
      </w:pPr>
    </w:p>
    <w:p>
      <w:pPr>
        <w:widowControl/>
        <w:ind w:firstLine="960" w:firstLineChars="200"/>
        <w:jc w:val="left"/>
        <w:rPr>
          <w:rFonts w:ascii="黑体" w:hAnsi="黑体" w:eastAsia="黑体" w:cs="黑体"/>
          <w:sz w:val="48"/>
          <w:szCs w:val="48"/>
        </w:rPr>
      </w:pPr>
    </w:p>
    <w:p>
      <w:pPr>
        <w:widowControl/>
        <w:ind w:firstLine="960" w:firstLineChars="200"/>
        <w:jc w:val="left"/>
        <w:rPr>
          <w:rFonts w:ascii="黑体" w:hAnsi="黑体" w:eastAsia="黑体" w:cs="黑体"/>
          <w:sz w:val="48"/>
          <w:szCs w:val="48"/>
        </w:rPr>
      </w:pPr>
    </w:p>
    <w:p>
      <w:pPr>
        <w:widowControl/>
        <w:ind w:firstLine="960" w:firstLineChars="200"/>
        <w:jc w:val="left"/>
        <w:rPr>
          <w:rFonts w:ascii="黑体" w:hAnsi="黑体" w:eastAsia="黑体" w:cs="黑体"/>
          <w:sz w:val="48"/>
          <w:szCs w:val="48"/>
        </w:rPr>
      </w:pPr>
    </w:p>
    <w:p>
      <w:pPr>
        <w:widowControl/>
        <w:ind w:firstLine="3200" w:firstLineChars="1000"/>
        <w:jc w:val="left"/>
        <w:sectPr>
          <w:footerReference r:id="rId4" w:type="default"/>
          <w:pgSz w:w="11850" w:h="16783"/>
          <w:pgMar w:top="1440" w:right="1800" w:bottom="1440" w:left="1800" w:header="720" w:footer="720" w:gutter="0"/>
          <w:cols w:space="720" w:num="1"/>
          <w:docGrid w:type="lines" w:linePitch="317"/>
        </w:sectPr>
      </w:pPr>
      <w:r>
        <w:rPr>
          <w:rFonts w:hint="eastAsia" w:ascii="黑体" w:hAnsi="黑体" w:eastAsia="黑体" w:cs="黑体"/>
          <w:sz w:val="32"/>
          <w:szCs w:val="32"/>
        </w:rPr>
        <w:t>二〇二〇年</w:t>
      </w:r>
      <w:r>
        <w:rPr>
          <w:rFonts w:hint="eastAsia" w:ascii="黑体" w:hAnsi="黑体" w:eastAsia="黑体" w:cs="黑体"/>
          <w:sz w:val="32"/>
          <w:szCs w:val="32"/>
          <w:lang w:eastAsia="zh-CN"/>
        </w:rPr>
        <w:t>九</w:t>
      </w:r>
      <w:r>
        <w:rPr>
          <w:rFonts w:hint="eastAsia" w:ascii="黑体" w:hAnsi="黑体" w:eastAsia="黑体" w:cs="黑体"/>
          <w:sz w:val="32"/>
          <w:szCs w:val="32"/>
        </w:rPr>
        <w:t>月</w:t>
      </w:r>
    </w:p>
    <w:p>
      <w:pPr>
        <w:jc w:val="center"/>
        <w:rPr>
          <w:rFonts w:ascii="黑体" w:hAnsi="黑体" w:eastAsia="黑体"/>
          <w:sz w:val="36"/>
          <w:szCs w:val="36"/>
        </w:rPr>
      </w:pPr>
      <w:r>
        <w:rPr>
          <w:rFonts w:hint="eastAsia" w:ascii="黑体" w:hAnsi="黑体" w:eastAsia="黑体"/>
          <w:sz w:val="36"/>
          <w:szCs w:val="36"/>
        </w:rPr>
        <w:t>目</w:t>
      </w:r>
      <w:r>
        <w:rPr>
          <w:rFonts w:ascii="黑体" w:hAnsi="黑体" w:eastAsia="黑体"/>
          <w:sz w:val="36"/>
          <w:szCs w:val="36"/>
        </w:rPr>
        <w:t xml:space="preserve">  </w:t>
      </w:r>
      <w:r>
        <w:rPr>
          <w:rFonts w:hint="eastAsia" w:ascii="黑体" w:hAnsi="黑体" w:eastAsia="黑体"/>
          <w:sz w:val="36"/>
          <w:szCs w:val="36"/>
        </w:rPr>
        <w:t>录</w:t>
      </w:r>
    </w:p>
    <w:p>
      <w:pPr>
        <w:jc w:val="left"/>
        <w:rPr>
          <w:rFonts w:ascii="黑体" w:hAnsi="黑体" w:eastAsia="黑体"/>
          <w:sz w:val="32"/>
          <w:szCs w:val="32"/>
        </w:rPr>
      </w:pPr>
      <w:r>
        <w:rPr>
          <w:rFonts w:hint="eastAsia" w:ascii="黑体" w:hAnsi="黑体" w:eastAsia="黑体"/>
          <w:sz w:val="32"/>
          <w:szCs w:val="32"/>
        </w:rPr>
        <w:t>第一部分</w:t>
      </w:r>
      <w:r>
        <w:rPr>
          <w:rFonts w:ascii="黑体" w:hAnsi="黑体" w:eastAsia="黑体"/>
          <w:sz w:val="32"/>
          <w:szCs w:val="32"/>
        </w:rPr>
        <w:t xml:space="preserve">  </w:t>
      </w:r>
      <w:r>
        <w:rPr>
          <w:rFonts w:hint="eastAsia" w:ascii="黑体" w:hAnsi="黑体" w:eastAsia="黑体"/>
          <w:sz w:val="32"/>
          <w:szCs w:val="32"/>
        </w:rPr>
        <w:t>中共三门峡市湖滨区委统战部概况</w:t>
      </w:r>
    </w:p>
    <w:p>
      <w:pPr>
        <w:numPr>
          <w:ilvl w:val="0"/>
          <w:numId w:val="1"/>
        </w:numPr>
        <w:ind w:firstLine="640" w:firstLineChars="200"/>
        <w:jc w:val="left"/>
        <w:rPr>
          <w:rFonts w:ascii="宋体"/>
          <w:sz w:val="32"/>
          <w:szCs w:val="32"/>
        </w:rPr>
      </w:pPr>
      <w:r>
        <w:rPr>
          <w:rFonts w:hint="eastAsia" w:ascii="宋体" w:hAnsi="宋体"/>
          <w:sz w:val="32"/>
          <w:szCs w:val="32"/>
        </w:rPr>
        <w:t>部门职责</w:t>
      </w:r>
    </w:p>
    <w:p>
      <w:pPr>
        <w:numPr>
          <w:ilvl w:val="0"/>
          <w:numId w:val="1"/>
        </w:numPr>
        <w:ind w:firstLine="640" w:firstLineChars="200"/>
        <w:jc w:val="left"/>
        <w:rPr>
          <w:rFonts w:ascii="宋体"/>
          <w:sz w:val="32"/>
          <w:szCs w:val="32"/>
        </w:rPr>
      </w:pPr>
      <w:r>
        <w:rPr>
          <w:rFonts w:hint="eastAsia" w:ascii="宋体" w:hAnsi="宋体"/>
          <w:sz w:val="32"/>
          <w:szCs w:val="32"/>
        </w:rPr>
        <w:t>机构设置</w:t>
      </w:r>
    </w:p>
    <w:p>
      <w:pPr>
        <w:jc w:val="left"/>
        <w:rPr>
          <w:rFonts w:ascii="黑体" w:hAnsi="黑体" w:eastAsia="黑体"/>
          <w:sz w:val="32"/>
          <w:szCs w:val="32"/>
        </w:rPr>
      </w:pPr>
      <w:r>
        <w:rPr>
          <w:rFonts w:hint="eastAsia" w:ascii="黑体" w:hAnsi="黑体" w:eastAsia="黑体"/>
          <w:sz w:val="32"/>
          <w:szCs w:val="32"/>
        </w:rPr>
        <w:t>第二部分</w:t>
      </w:r>
      <w:r>
        <w:rPr>
          <w:rFonts w:ascii="黑体" w:hAnsi="黑体" w:eastAsia="黑体"/>
          <w:sz w:val="32"/>
          <w:szCs w:val="32"/>
        </w:rPr>
        <w:t xml:space="preserve">  </w:t>
      </w:r>
      <w:r>
        <w:rPr>
          <w:rFonts w:hint="eastAsia" w:ascii="黑体" w:hAnsi="黑体" w:eastAsia="黑体"/>
          <w:sz w:val="32"/>
          <w:szCs w:val="32"/>
          <w:lang w:eastAsia="zh-CN"/>
        </w:rPr>
        <w:t>2019</w:t>
      </w:r>
      <w:r>
        <w:rPr>
          <w:rFonts w:hint="eastAsia" w:ascii="黑体" w:hAnsi="黑体" w:eastAsia="黑体"/>
          <w:sz w:val="32"/>
          <w:szCs w:val="32"/>
        </w:rPr>
        <w:t>年度部门决算表</w:t>
      </w:r>
    </w:p>
    <w:p>
      <w:pPr>
        <w:ind w:firstLine="640" w:firstLineChars="200"/>
        <w:jc w:val="left"/>
        <w:rPr>
          <w:rFonts w:ascii="宋体"/>
          <w:sz w:val="32"/>
          <w:szCs w:val="32"/>
        </w:rPr>
      </w:pPr>
      <w:r>
        <w:rPr>
          <w:rFonts w:hint="eastAsia" w:ascii="宋体" w:hAnsi="宋体"/>
          <w:sz w:val="32"/>
          <w:szCs w:val="32"/>
        </w:rPr>
        <w:t>一、收入支出决算总表</w:t>
      </w:r>
    </w:p>
    <w:p>
      <w:pPr>
        <w:ind w:firstLine="640" w:firstLineChars="200"/>
        <w:jc w:val="left"/>
        <w:rPr>
          <w:rFonts w:ascii="宋体"/>
          <w:sz w:val="32"/>
          <w:szCs w:val="32"/>
        </w:rPr>
      </w:pPr>
      <w:r>
        <w:rPr>
          <w:rFonts w:hint="eastAsia" w:ascii="宋体" w:hAnsi="宋体"/>
          <w:sz w:val="32"/>
          <w:szCs w:val="32"/>
        </w:rPr>
        <w:t>二、收入决算表</w:t>
      </w:r>
    </w:p>
    <w:p>
      <w:pPr>
        <w:ind w:firstLine="640" w:firstLineChars="200"/>
        <w:jc w:val="left"/>
        <w:rPr>
          <w:rFonts w:ascii="宋体"/>
          <w:sz w:val="32"/>
          <w:szCs w:val="32"/>
        </w:rPr>
      </w:pPr>
      <w:r>
        <w:rPr>
          <w:rFonts w:hint="eastAsia" w:ascii="宋体" w:hAnsi="宋体"/>
          <w:sz w:val="32"/>
          <w:szCs w:val="32"/>
        </w:rPr>
        <w:t>三、支出决算表</w:t>
      </w:r>
    </w:p>
    <w:p>
      <w:pPr>
        <w:ind w:firstLine="640" w:firstLineChars="200"/>
        <w:jc w:val="left"/>
        <w:rPr>
          <w:rFonts w:ascii="宋体"/>
          <w:sz w:val="32"/>
          <w:szCs w:val="32"/>
        </w:rPr>
      </w:pPr>
      <w:r>
        <w:rPr>
          <w:rFonts w:hint="eastAsia" w:ascii="宋体" w:hAnsi="宋体"/>
          <w:sz w:val="32"/>
          <w:szCs w:val="32"/>
        </w:rPr>
        <w:t>四、财政拨款收入支出决算总表</w:t>
      </w:r>
    </w:p>
    <w:p>
      <w:pPr>
        <w:ind w:firstLine="640" w:firstLineChars="200"/>
        <w:jc w:val="left"/>
        <w:rPr>
          <w:rFonts w:ascii="宋体"/>
          <w:sz w:val="32"/>
          <w:szCs w:val="32"/>
        </w:rPr>
      </w:pPr>
      <w:r>
        <w:rPr>
          <w:rFonts w:hint="eastAsia" w:ascii="宋体" w:hAnsi="宋体"/>
          <w:sz w:val="32"/>
          <w:szCs w:val="32"/>
        </w:rPr>
        <w:t>五、一般公共预算财政拨款支出决算表</w:t>
      </w:r>
    </w:p>
    <w:p>
      <w:pPr>
        <w:ind w:firstLine="640" w:firstLineChars="200"/>
        <w:jc w:val="left"/>
        <w:rPr>
          <w:rFonts w:ascii="宋体"/>
          <w:sz w:val="32"/>
          <w:szCs w:val="32"/>
        </w:rPr>
      </w:pPr>
      <w:r>
        <w:rPr>
          <w:rFonts w:hint="eastAsia" w:ascii="宋体" w:hAnsi="宋体"/>
          <w:sz w:val="32"/>
          <w:szCs w:val="32"/>
        </w:rPr>
        <w:t>六、一般公共预算财政拨款基本支出决算表</w:t>
      </w:r>
    </w:p>
    <w:p>
      <w:pPr>
        <w:ind w:firstLine="640" w:firstLineChars="200"/>
        <w:jc w:val="left"/>
        <w:rPr>
          <w:rFonts w:ascii="宋体"/>
          <w:sz w:val="32"/>
          <w:szCs w:val="32"/>
        </w:rPr>
      </w:pPr>
      <w:r>
        <w:rPr>
          <w:rFonts w:hint="eastAsia" w:ascii="宋体" w:hAnsi="宋体"/>
          <w:sz w:val="32"/>
          <w:szCs w:val="32"/>
        </w:rPr>
        <w:t>七、一般公共预算财政拨款“三公”经费支出决算表</w:t>
      </w:r>
    </w:p>
    <w:p>
      <w:pPr>
        <w:ind w:firstLine="640" w:firstLineChars="200"/>
        <w:jc w:val="left"/>
        <w:rPr>
          <w:rFonts w:ascii="宋体"/>
          <w:sz w:val="32"/>
          <w:szCs w:val="32"/>
        </w:rPr>
      </w:pPr>
      <w:r>
        <w:rPr>
          <w:rFonts w:hint="eastAsia" w:ascii="宋体" w:hAnsi="宋体"/>
          <w:sz w:val="32"/>
          <w:szCs w:val="32"/>
        </w:rPr>
        <w:t>八、政府性基金预算财政拨款收入支出决算表</w:t>
      </w:r>
    </w:p>
    <w:p>
      <w:pPr>
        <w:jc w:val="left"/>
        <w:rPr>
          <w:rFonts w:ascii="黑体" w:hAnsi="黑体" w:eastAsia="黑体"/>
          <w:sz w:val="32"/>
          <w:szCs w:val="32"/>
        </w:rPr>
      </w:pPr>
      <w:r>
        <w:rPr>
          <w:rFonts w:hint="eastAsia" w:ascii="黑体" w:hAnsi="黑体" w:eastAsia="黑体"/>
          <w:sz w:val="32"/>
          <w:szCs w:val="32"/>
        </w:rPr>
        <w:t>第三部分</w:t>
      </w:r>
      <w:r>
        <w:rPr>
          <w:rFonts w:ascii="黑体" w:hAnsi="黑体" w:eastAsia="黑体"/>
          <w:sz w:val="32"/>
          <w:szCs w:val="32"/>
        </w:rPr>
        <w:t xml:space="preserve">  </w:t>
      </w:r>
      <w:r>
        <w:rPr>
          <w:rFonts w:hint="eastAsia" w:ascii="黑体" w:hAnsi="黑体" w:eastAsia="黑体"/>
          <w:sz w:val="32"/>
          <w:szCs w:val="32"/>
          <w:lang w:eastAsia="zh-CN"/>
        </w:rPr>
        <w:t>2019</w:t>
      </w:r>
      <w:r>
        <w:rPr>
          <w:rFonts w:hint="eastAsia" w:ascii="黑体" w:hAnsi="黑体" w:eastAsia="黑体"/>
          <w:sz w:val="32"/>
          <w:szCs w:val="32"/>
        </w:rPr>
        <w:t>年度部门决算情况说明</w:t>
      </w:r>
    </w:p>
    <w:p>
      <w:pPr>
        <w:ind w:firstLine="640" w:firstLineChars="200"/>
        <w:jc w:val="left"/>
        <w:rPr>
          <w:rFonts w:ascii="宋体"/>
          <w:sz w:val="32"/>
          <w:szCs w:val="32"/>
        </w:rPr>
      </w:pPr>
      <w:r>
        <w:rPr>
          <w:rFonts w:hint="eastAsia" w:ascii="宋体" w:hAnsi="宋体"/>
          <w:sz w:val="32"/>
          <w:szCs w:val="32"/>
        </w:rPr>
        <w:t>一、收入支出决算总体情况说明</w:t>
      </w:r>
    </w:p>
    <w:p>
      <w:pPr>
        <w:ind w:firstLine="640" w:firstLineChars="200"/>
        <w:jc w:val="left"/>
        <w:rPr>
          <w:rFonts w:ascii="宋体"/>
          <w:sz w:val="32"/>
          <w:szCs w:val="32"/>
        </w:rPr>
      </w:pPr>
      <w:r>
        <w:rPr>
          <w:rFonts w:hint="eastAsia" w:ascii="宋体" w:hAnsi="宋体"/>
          <w:sz w:val="32"/>
          <w:szCs w:val="32"/>
        </w:rPr>
        <w:t>二、收入决算情况说明</w:t>
      </w:r>
    </w:p>
    <w:p>
      <w:pPr>
        <w:ind w:firstLine="640" w:firstLineChars="200"/>
        <w:jc w:val="left"/>
        <w:rPr>
          <w:rFonts w:ascii="宋体"/>
          <w:sz w:val="32"/>
          <w:szCs w:val="32"/>
        </w:rPr>
      </w:pPr>
      <w:r>
        <w:rPr>
          <w:rFonts w:hint="eastAsia" w:ascii="宋体" w:hAnsi="宋体"/>
          <w:sz w:val="32"/>
          <w:szCs w:val="32"/>
        </w:rPr>
        <w:t>三、支出决算情况说明</w:t>
      </w:r>
    </w:p>
    <w:p>
      <w:pPr>
        <w:ind w:firstLine="640" w:firstLineChars="200"/>
        <w:jc w:val="left"/>
        <w:rPr>
          <w:rFonts w:ascii="宋体"/>
          <w:sz w:val="32"/>
          <w:szCs w:val="32"/>
        </w:rPr>
      </w:pPr>
      <w:r>
        <w:rPr>
          <w:rFonts w:hint="eastAsia" w:ascii="宋体" w:hAnsi="宋体"/>
          <w:sz w:val="32"/>
          <w:szCs w:val="32"/>
        </w:rPr>
        <w:t>四、财政拨款收入支出决算总体情况说明</w:t>
      </w:r>
    </w:p>
    <w:p>
      <w:pPr>
        <w:ind w:firstLine="640" w:firstLineChars="200"/>
        <w:jc w:val="left"/>
        <w:rPr>
          <w:rFonts w:ascii="宋体"/>
          <w:sz w:val="32"/>
          <w:szCs w:val="32"/>
        </w:rPr>
      </w:pPr>
      <w:r>
        <w:rPr>
          <w:rFonts w:hint="eastAsia" w:ascii="宋体" w:hAnsi="宋体"/>
          <w:sz w:val="32"/>
          <w:szCs w:val="32"/>
        </w:rPr>
        <w:t>五、一般公共预算财政拨款支出决算情况说明</w:t>
      </w:r>
    </w:p>
    <w:p>
      <w:pPr>
        <w:ind w:firstLine="640" w:firstLineChars="200"/>
        <w:jc w:val="left"/>
        <w:rPr>
          <w:rFonts w:ascii="宋体"/>
          <w:sz w:val="32"/>
          <w:szCs w:val="32"/>
        </w:rPr>
      </w:pPr>
      <w:r>
        <w:rPr>
          <w:rFonts w:hint="eastAsia" w:ascii="宋体" w:hAnsi="宋体"/>
          <w:sz w:val="32"/>
          <w:szCs w:val="32"/>
        </w:rPr>
        <w:t>六、一般公共预算财政拨款基本支出决算情况说明</w:t>
      </w:r>
    </w:p>
    <w:p>
      <w:pPr>
        <w:ind w:firstLine="640" w:firstLineChars="200"/>
        <w:jc w:val="left"/>
        <w:rPr>
          <w:rFonts w:ascii="宋体"/>
          <w:sz w:val="32"/>
          <w:szCs w:val="32"/>
        </w:rPr>
      </w:pPr>
      <w:r>
        <w:rPr>
          <w:rFonts w:hint="eastAsia" w:ascii="宋体" w:hAnsi="宋体"/>
          <w:sz w:val="32"/>
          <w:szCs w:val="32"/>
        </w:rPr>
        <w:t>七、一般公共预算财政拨款“三公”经费支出决算情况说明</w:t>
      </w:r>
    </w:p>
    <w:p>
      <w:pPr>
        <w:ind w:firstLine="640" w:firstLineChars="200"/>
        <w:jc w:val="left"/>
        <w:rPr>
          <w:rFonts w:ascii="宋体"/>
          <w:sz w:val="32"/>
          <w:szCs w:val="32"/>
        </w:rPr>
      </w:pPr>
      <w:r>
        <w:rPr>
          <w:rFonts w:hint="eastAsia" w:ascii="宋体" w:hAnsi="宋体"/>
          <w:sz w:val="32"/>
          <w:szCs w:val="32"/>
        </w:rPr>
        <w:t>八、预算绩效情况说明</w:t>
      </w:r>
    </w:p>
    <w:p>
      <w:pPr>
        <w:ind w:firstLine="640" w:firstLineChars="200"/>
        <w:jc w:val="left"/>
        <w:rPr>
          <w:rFonts w:ascii="宋体"/>
          <w:sz w:val="32"/>
          <w:szCs w:val="32"/>
        </w:rPr>
      </w:pPr>
      <w:r>
        <w:rPr>
          <w:rFonts w:hint="eastAsia" w:ascii="宋体" w:hAnsi="宋体"/>
          <w:sz w:val="32"/>
          <w:szCs w:val="32"/>
        </w:rPr>
        <w:t>九、政府性基金预算财政拨款支出决算情况说明</w:t>
      </w:r>
    </w:p>
    <w:p>
      <w:pPr>
        <w:ind w:firstLine="640" w:firstLineChars="200"/>
        <w:jc w:val="left"/>
        <w:rPr>
          <w:rFonts w:ascii="宋体"/>
          <w:sz w:val="32"/>
          <w:szCs w:val="32"/>
        </w:rPr>
      </w:pPr>
      <w:r>
        <w:rPr>
          <w:rFonts w:hint="eastAsia" w:ascii="宋体" w:hAnsi="宋体"/>
          <w:sz w:val="32"/>
          <w:szCs w:val="32"/>
        </w:rPr>
        <w:t>十、机关运行经费支出情况说明</w:t>
      </w:r>
    </w:p>
    <w:p>
      <w:pPr>
        <w:ind w:firstLine="640" w:firstLineChars="200"/>
        <w:jc w:val="left"/>
        <w:rPr>
          <w:rFonts w:ascii="宋体"/>
          <w:sz w:val="32"/>
          <w:szCs w:val="32"/>
        </w:rPr>
      </w:pPr>
      <w:r>
        <w:rPr>
          <w:rFonts w:hint="eastAsia" w:ascii="宋体" w:hAnsi="宋体"/>
          <w:sz w:val="32"/>
          <w:szCs w:val="32"/>
        </w:rPr>
        <w:t>十一、政府采购支出情况说明</w:t>
      </w:r>
    </w:p>
    <w:p>
      <w:pPr>
        <w:ind w:firstLine="640" w:firstLineChars="200"/>
        <w:jc w:val="left"/>
        <w:rPr>
          <w:rFonts w:ascii="宋体"/>
          <w:sz w:val="32"/>
          <w:szCs w:val="32"/>
        </w:rPr>
      </w:pPr>
      <w:r>
        <w:rPr>
          <w:rFonts w:hint="eastAsia" w:ascii="宋体" w:hAnsi="宋体"/>
          <w:sz w:val="32"/>
          <w:szCs w:val="32"/>
        </w:rPr>
        <w:t>十二、国有资产占用情况说明</w:t>
      </w:r>
    </w:p>
    <w:p>
      <w:pPr>
        <w:jc w:val="left"/>
        <w:rPr>
          <w:rFonts w:ascii="Times New Roman" w:hAnsi="Times New Roman"/>
          <w:szCs w:val="21"/>
        </w:rPr>
      </w:pPr>
      <w:r>
        <w:rPr>
          <w:rFonts w:hint="eastAsia" w:ascii="黑体" w:hAnsi="黑体" w:eastAsia="黑体"/>
          <w:sz w:val="32"/>
          <w:szCs w:val="32"/>
        </w:rPr>
        <w:t>第四部分</w:t>
      </w:r>
      <w:r>
        <w:rPr>
          <w:rFonts w:ascii="黑体" w:hAnsi="黑体" w:eastAsia="黑体"/>
          <w:sz w:val="32"/>
          <w:szCs w:val="32"/>
        </w:rPr>
        <w:t xml:space="preserve">  </w:t>
      </w:r>
      <w:r>
        <w:rPr>
          <w:rFonts w:hint="eastAsia" w:ascii="黑体" w:hAnsi="黑体" w:eastAsia="黑体"/>
          <w:sz w:val="32"/>
          <w:szCs w:val="32"/>
        </w:rPr>
        <w:t>名词解释</w:t>
      </w:r>
    </w:p>
    <w:p>
      <w:pPr>
        <w:widowControl/>
        <w:jc w:val="left"/>
        <w:sectPr>
          <w:footerReference r:id="rId5" w:type="default"/>
          <w:pgSz w:w="11850" w:h="16783"/>
          <w:pgMar w:top="1440" w:right="1800" w:bottom="1440" w:left="1800" w:header="720" w:footer="720" w:gutter="0"/>
          <w:pgNumType w:start="1"/>
          <w:cols w:space="720" w:num="1"/>
          <w:docGrid w:type="lines" w:linePitch="317"/>
        </w:sect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numPr>
          <w:ilvl w:val="0"/>
          <w:numId w:val="2"/>
        </w:numPr>
        <w:jc w:val="center"/>
        <w:rPr>
          <w:rFonts w:ascii="黑体" w:hAnsi="黑体" w:eastAsia="黑体"/>
          <w:sz w:val="48"/>
          <w:szCs w:val="48"/>
        </w:rPr>
      </w:pPr>
    </w:p>
    <w:p>
      <w:pPr>
        <w:widowControl/>
        <w:rPr>
          <w:rFonts w:ascii="黑体" w:hAnsi="黑体" w:eastAsia="黑体"/>
          <w:sz w:val="48"/>
          <w:szCs w:val="48"/>
        </w:rPr>
      </w:pPr>
    </w:p>
    <w:p>
      <w:pPr>
        <w:widowControl/>
        <w:rPr>
          <w:rFonts w:ascii="黑体" w:hAnsi="黑体" w:eastAsia="黑体"/>
          <w:sz w:val="48"/>
          <w:szCs w:val="48"/>
        </w:rPr>
      </w:pPr>
    </w:p>
    <w:p>
      <w:pPr>
        <w:widowControl/>
        <w:ind w:firstLine="480" w:firstLineChars="100"/>
        <w:rPr>
          <w:rFonts w:ascii="黑体" w:hAnsi="宋体" w:eastAsia="黑体" w:cs="宋体"/>
          <w:kern w:val="0"/>
          <w:sz w:val="28"/>
          <w:szCs w:val="28"/>
        </w:rPr>
      </w:pPr>
      <w:r>
        <w:rPr>
          <w:rFonts w:hint="eastAsia" w:ascii="黑体" w:hAnsi="黑体" w:eastAsia="黑体"/>
          <w:sz w:val="48"/>
          <w:szCs w:val="48"/>
        </w:rPr>
        <w:t>中共三门峡市湖滨区委统战部概况</w:t>
      </w:r>
    </w:p>
    <w:p>
      <w:pPr>
        <w:widowControl/>
        <w:jc w:val="left"/>
        <w:rPr>
          <w:rFonts w:ascii="黑体" w:hAnsi="宋体" w:eastAsia="黑体" w:cs="宋体"/>
          <w:kern w:val="0"/>
          <w:sz w:val="28"/>
          <w:szCs w:val="28"/>
        </w:rPr>
      </w:pPr>
    </w:p>
    <w:p>
      <w:pPr>
        <w:adjustRightInd w:val="0"/>
        <w:snapToGrid w:val="0"/>
        <w:spacing w:line="360" w:lineRule="auto"/>
        <w:ind w:firstLine="640"/>
        <w:rPr>
          <w:rFonts w:ascii="黑体" w:hAnsi="黑体" w:eastAsia="黑体"/>
          <w:sz w:val="28"/>
          <w:szCs w:val="28"/>
        </w:rPr>
      </w:pPr>
    </w:p>
    <w:p>
      <w:pPr>
        <w:adjustRightInd w:val="0"/>
        <w:snapToGrid w:val="0"/>
        <w:spacing w:line="360" w:lineRule="auto"/>
        <w:ind w:firstLine="640"/>
        <w:rPr>
          <w:rFonts w:ascii="黑体" w:hAnsi="黑体" w:eastAsia="黑体"/>
          <w:sz w:val="28"/>
          <w:szCs w:val="28"/>
        </w:rPr>
      </w:pPr>
    </w:p>
    <w:p>
      <w:pPr>
        <w:adjustRightInd w:val="0"/>
        <w:snapToGrid w:val="0"/>
        <w:spacing w:line="360" w:lineRule="auto"/>
        <w:ind w:firstLine="640"/>
        <w:rPr>
          <w:rFonts w:ascii="黑体" w:hAnsi="黑体" w:eastAsia="黑体"/>
          <w:sz w:val="28"/>
          <w:szCs w:val="28"/>
        </w:rPr>
      </w:pPr>
    </w:p>
    <w:p>
      <w:pPr>
        <w:adjustRightInd w:val="0"/>
        <w:snapToGrid w:val="0"/>
        <w:spacing w:line="360" w:lineRule="auto"/>
        <w:ind w:firstLine="640"/>
        <w:rPr>
          <w:rFonts w:ascii="黑体" w:hAnsi="黑体" w:eastAsia="黑体"/>
          <w:sz w:val="28"/>
          <w:szCs w:val="28"/>
        </w:rPr>
      </w:pPr>
    </w:p>
    <w:p>
      <w:pPr>
        <w:adjustRightInd w:val="0"/>
        <w:snapToGrid w:val="0"/>
        <w:spacing w:line="360" w:lineRule="auto"/>
        <w:ind w:firstLine="640"/>
        <w:rPr>
          <w:rFonts w:ascii="黑体" w:hAnsi="黑体" w:eastAsia="黑体"/>
          <w:sz w:val="28"/>
          <w:szCs w:val="28"/>
        </w:rPr>
      </w:pPr>
    </w:p>
    <w:p>
      <w:pPr>
        <w:adjustRightInd w:val="0"/>
        <w:snapToGrid w:val="0"/>
        <w:spacing w:line="360" w:lineRule="auto"/>
        <w:ind w:firstLine="640"/>
        <w:rPr>
          <w:rFonts w:ascii="黑体" w:hAnsi="黑体" w:eastAsia="黑体"/>
          <w:sz w:val="28"/>
          <w:szCs w:val="28"/>
        </w:rPr>
      </w:pPr>
    </w:p>
    <w:p>
      <w:pPr>
        <w:adjustRightInd w:val="0"/>
        <w:snapToGrid w:val="0"/>
        <w:spacing w:line="360" w:lineRule="auto"/>
        <w:ind w:firstLine="640"/>
        <w:rPr>
          <w:rFonts w:ascii="黑体" w:hAnsi="黑体" w:eastAsia="黑体"/>
          <w:sz w:val="28"/>
          <w:szCs w:val="28"/>
        </w:rPr>
      </w:pPr>
    </w:p>
    <w:p>
      <w:pPr>
        <w:adjustRightInd w:val="0"/>
        <w:snapToGrid w:val="0"/>
        <w:spacing w:line="360" w:lineRule="auto"/>
        <w:ind w:firstLine="640"/>
        <w:rPr>
          <w:rFonts w:ascii="黑体" w:hAnsi="黑体" w:eastAsia="黑体"/>
          <w:sz w:val="28"/>
          <w:szCs w:val="28"/>
        </w:rPr>
      </w:pPr>
    </w:p>
    <w:p>
      <w:pPr>
        <w:adjustRightInd w:val="0"/>
        <w:snapToGrid w:val="0"/>
        <w:spacing w:line="360" w:lineRule="auto"/>
        <w:ind w:firstLine="640"/>
        <w:rPr>
          <w:rFonts w:ascii="黑体" w:hAnsi="黑体" w:eastAsia="黑体"/>
          <w:sz w:val="28"/>
          <w:szCs w:val="28"/>
        </w:rPr>
      </w:pPr>
    </w:p>
    <w:p>
      <w:pPr>
        <w:adjustRightInd w:val="0"/>
        <w:snapToGrid w:val="0"/>
        <w:spacing w:line="360" w:lineRule="auto"/>
        <w:ind w:firstLine="640"/>
        <w:rPr>
          <w:rFonts w:ascii="黑体" w:hAnsi="黑体" w:eastAsia="黑体"/>
          <w:sz w:val="28"/>
          <w:szCs w:val="28"/>
        </w:rPr>
      </w:pPr>
    </w:p>
    <w:p>
      <w:pPr>
        <w:adjustRightInd w:val="0"/>
        <w:snapToGrid w:val="0"/>
        <w:spacing w:line="360" w:lineRule="auto"/>
        <w:ind w:firstLine="640"/>
        <w:rPr>
          <w:rFonts w:ascii="黑体" w:hAnsi="黑体" w:eastAsia="黑体"/>
          <w:sz w:val="28"/>
          <w:szCs w:val="28"/>
        </w:rPr>
      </w:pPr>
    </w:p>
    <w:p>
      <w:pPr>
        <w:adjustRightInd w:val="0"/>
        <w:snapToGrid w:val="0"/>
        <w:spacing w:line="360" w:lineRule="auto"/>
        <w:rPr>
          <w:rFonts w:ascii="黑体" w:hAnsi="黑体" w:eastAsia="黑体"/>
          <w:sz w:val="28"/>
          <w:szCs w:val="28"/>
        </w:rPr>
      </w:pPr>
    </w:p>
    <w:p>
      <w:pPr>
        <w:adjustRightInd w:val="0"/>
        <w:snapToGrid w:val="0"/>
        <w:spacing w:line="360" w:lineRule="auto"/>
        <w:ind w:firstLine="640"/>
        <w:rPr>
          <w:rFonts w:ascii="黑体" w:hAnsi="黑体" w:eastAsia="黑体"/>
          <w:sz w:val="28"/>
          <w:szCs w:val="28"/>
        </w:rPr>
      </w:pPr>
    </w:p>
    <w:p>
      <w:pPr>
        <w:adjustRightInd w:val="0"/>
        <w:snapToGrid w:val="0"/>
        <w:spacing w:line="360" w:lineRule="auto"/>
        <w:ind w:firstLine="640"/>
        <w:rPr>
          <w:rFonts w:ascii="黑体" w:hAnsi="黑体" w:eastAsia="黑体"/>
          <w:sz w:val="32"/>
          <w:szCs w:val="32"/>
        </w:rPr>
      </w:pPr>
    </w:p>
    <w:p>
      <w:pPr>
        <w:adjustRightInd w:val="0"/>
        <w:snapToGrid w:val="0"/>
        <w:spacing w:line="360" w:lineRule="auto"/>
        <w:ind w:firstLine="640"/>
        <w:rPr>
          <w:rFonts w:ascii="黑体" w:hAnsi="黑体" w:eastAsia="黑体"/>
          <w:sz w:val="32"/>
          <w:szCs w:val="32"/>
        </w:rPr>
      </w:pPr>
      <w:r>
        <w:rPr>
          <w:rFonts w:hint="eastAsia" w:ascii="黑体" w:hAnsi="黑体" w:eastAsia="黑体"/>
          <w:sz w:val="32"/>
          <w:szCs w:val="32"/>
        </w:rPr>
        <w:t>一、部门职责</w:t>
      </w:r>
    </w:p>
    <w:p>
      <w:pPr>
        <w:snapToGrid w:val="0"/>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根据三湖办</w:t>
      </w:r>
      <w:r>
        <w:rPr>
          <w:rFonts w:ascii="仿宋_GB2312" w:hAnsi="Times New Roman" w:eastAsia="仿宋_GB2312"/>
          <w:sz w:val="32"/>
          <w:szCs w:val="32"/>
        </w:rPr>
        <w:t>[2002]30</w:t>
      </w:r>
      <w:r>
        <w:rPr>
          <w:rFonts w:hint="eastAsia" w:ascii="仿宋_GB2312" w:hAnsi="Times New Roman" w:eastAsia="仿宋_GB2312"/>
          <w:sz w:val="32"/>
          <w:szCs w:val="32"/>
        </w:rPr>
        <w:t>号文件规定，本部门主要职责是：</w:t>
      </w:r>
    </w:p>
    <w:p>
      <w:pPr>
        <w:snapToGrid w:val="0"/>
        <w:spacing w:line="560" w:lineRule="exact"/>
        <w:rPr>
          <w:rFonts w:ascii="仿宋_GB2312" w:hAnsi="Times New Roman" w:eastAsia="仿宋_GB2312"/>
          <w:sz w:val="32"/>
          <w:szCs w:val="32"/>
        </w:rPr>
      </w:pPr>
      <w:r>
        <w:rPr>
          <w:rFonts w:ascii="仿宋_GB2312" w:hAnsi="Times New Roman" w:eastAsia="仿宋_GB2312"/>
          <w:sz w:val="32"/>
          <w:szCs w:val="32"/>
        </w:rPr>
        <w:t xml:space="preserve">   </w:t>
      </w:r>
      <w:r>
        <w:rPr>
          <w:rFonts w:hint="eastAsia" w:ascii="仿宋_GB2312" w:hAnsi="Times New Roman" w:eastAsia="仿宋_GB2312"/>
          <w:sz w:val="32"/>
          <w:szCs w:val="32"/>
        </w:rPr>
        <w:t>（一）区委统一战线工作部</w:t>
      </w:r>
    </w:p>
    <w:p>
      <w:pPr>
        <w:numPr>
          <w:ilvl w:val="0"/>
          <w:numId w:val="3"/>
        </w:numPr>
        <w:snapToGrid w:val="0"/>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贯彻执行中央和省、市、区委关于统一战线的方针、政策；调查研究全区统一战线情况，并及时向区委反映、提出开展统战工作的意见和建议；检查统战政策执行情况，协调我区统一战线各方面的关系。</w:t>
      </w:r>
    </w:p>
    <w:p>
      <w:pPr>
        <w:numPr>
          <w:ilvl w:val="0"/>
          <w:numId w:val="3"/>
        </w:numPr>
        <w:snapToGrid w:val="0"/>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负责联系各民主党派和无党派人士，及时反映他们意见和建议；贯彻党领导的多党合作制度和对民主党派的方针、政策，落实中央、省、市、区委关于发挥民主党派参政议政和民主监督作用的工作。</w:t>
      </w:r>
    </w:p>
    <w:p>
      <w:pPr>
        <w:numPr>
          <w:ilvl w:val="0"/>
          <w:numId w:val="3"/>
        </w:numPr>
        <w:snapToGrid w:val="0"/>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负责调查研究，协调检查有关民族、宗教工作的重大方针、政策的贯彻落实情况；联系少数民族和宗教界的代表人士；协助有关部门做好少数民族干部的培养和举荐工作。</w:t>
      </w:r>
    </w:p>
    <w:p>
      <w:pPr>
        <w:numPr>
          <w:ilvl w:val="0"/>
          <w:numId w:val="3"/>
        </w:numPr>
        <w:snapToGrid w:val="0"/>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负责开展以祖国统一为重点的海外统战工作；联系香港、澳门和海外工商界社团代表人士；调查、研究并反映我区非公有制经济代表人士的情况，提出政策性建议；团结、帮助、引导、教育非公有制经济代表人士，积极开展思想政治工作。</w:t>
      </w:r>
    </w:p>
    <w:p>
      <w:pPr>
        <w:numPr>
          <w:ilvl w:val="0"/>
          <w:numId w:val="3"/>
        </w:numPr>
        <w:snapToGrid w:val="0"/>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会同有关部门做好党外人士的培养、选拔、推荐工作；做好党外后备干部和新的代表人物队伍的建设工作；协助区工商联做好非公有制经济认识的教育管理工作；协助有关部门管理党委统战委员。</w:t>
      </w:r>
    </w:p>
    <w:p>
      <w:pPr>
        <w:numPr>
          <w:ilvl w:val="0"/>
          <w:numId w:val="3"/>
        </w:numPr>
        <w:snapToGrid w:val="0"/>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调查研究党外知识分子情况，反映意见，协调关系，提出政策性建议；联系并培养党外知识分子代表人士。</w:t>
      </w:r>
    </w:p>
    <w:p>
      <w:pPr>
        <w:numPr>
          <w:ilvl w:val="0"/>
          <w:numId w:val="3"/>
        </w:numPr>
        <w:snapToGrid w:val="0"/>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开展海内外统一战线的宣传工作。</w:t>
      </w:r>
    </w:p>
    <w:p>
      <w:pPr>
        <w:numPr>
          <w:ilvl w:val="0"/>
          <w:numId w:val="3"/>
        </w:numPr>
        <w:snapToGrid w:val="0"/>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指导基层党委统战工作和统战干部的培训工作；协调政府各有关部门的统战工作；指导区工商联工作；管理区委台湾工作办公室（区政府台湾事务办公室）。</w:t>
      </w:r>
    </w:p>
    <w:p>
      <w:pPr>
        <w:numPr>
          <w:ilvl w:val="0"/>
          <w:numId w:val="3"/>
        </w:numPr>
        <w:snapToGrid w:val="0"/>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承办区委交办的其他事项。</w:t>
      </w:r>
    </w:p>
    <w:p>
      <w:pPr>
        <w:snapToGrid w:val="0"/>
        <w:spacing w:line="560" w:lineRule="exact"/>
        <w:rPr>
          <w:rFonts w:ascii="仿宋_GB2312" w:hAnsi="Times New Roman" w:eastAsia="仿宋_GB2312"/>
          <w:sz w:val="32"/>
          <w:szCs w:val="32"/>
        </w:rPr>
      </w:pPr>
      <w:r>
        <w:rPr>
          <w:rFonts w:ascii="仿宋_GB2312" w:hAnsi="Times New Roman" w:eastAsia="仿宋_GB2312"/>
          <w:sz w:val="32"/>
          <w:szCs w:val="32"/>
        </w:rPr>
        <w:t xml:space="preserve">   </w:t>
      </w:r>
      <w:r>
        <w:rPr>
          <w:rFonts w:hint="eastAsia" w:ascii="仿宋_GB2312" w:hAnsi="Times New Roman" w:eastAsia="仿宋_GB2312"/>
          <w:sz w:val="32"/>
          <w:szCs w:val="32"/>
        </w:rPr>
        <w:t>（二）区委台湾工作办公室（区政府台湾事务办公室）</w:t>
      </w:r>
    </w:p>
    <w:p>
      <w:pPr>
        <w:snapToGrid w:val="0"/>
        <w:spacing w:line="560" w:lineRule="exact"/>
        <w:ind w:firstLine="640" w:firstLineChars="200"/>
        <w:rPr>
          <w:rFonts w:ascii="仿宋_GB2312" w:hAnsi="Times New Roman" w:eastAsia="仿宋_GB2312"/>
          <w:sz w:val="32"/>
          <w:szCs w:val="32"/>
        </w:rPr>
      </w:pPr>
      <w:r>
        <w:rPr>
          <w:rFonts w:ascii="仿宋_GB2312" w:hAnsi="Times New Roman" w:eastAsia="仿宋_GB2312"/>
          <w:sz w:val="32"/>
          <w:szCs w:val="32"/>
        </w:rPr>
        <w:t>1</w:t>
      </w:r>
      <w:r>
        <w:rPr>
          <w:rFonts w:hint="eastAsia" w:ascii="仿宋_GB2312" w:hAnsi="Times New Roman" w:eastAsia="仿宋_GB2312"/>
          <w:sz w:val="32"/>
          <w:szCs w:val="32"/>
        </w:rPr>
        <w:t>、贯彻执行中共中央、国务院，省委、省政府，市委、市政府对台工作方针、政策和规定；研究拟定全区对台工作计划和实施意见。</w:t>
      </w:r>
    </w:p>
    <w:p>
      <w:pPr>
        <w:snapToGrid w:val="0"/>
        <w:spacing w:line="560" w:lineRule="exact"/>
        <w:ind w:firstLine="640" w:firstLineChars="200"/>
        <w:rPr>
          <w:rFonts w:ascii="仿宋_GB2312" w:hAnsi="Times New Roman" w:eastAsia="仿宋_GB2312"/>
          <w:sz w:val="32"/>
          <w:szCs w:val="32"/>
        </w:rPr>
      </w:pPr>
      <w:r>
        <w:rPr>
          <w:rFonts w:ascii="仿宋_GB2312" w:hAnsi="Times New Roman" w:eastAsia="仿宋_GB2312"/>
          <w:sz w:val="32"/>
          <w:szCs w:val="32"/>
        </w:rPr>
        <w:t>2</w:t>
      </w:r>
      <w:r>
        <w:rPr>
          <w:rFonts w:hint="eastAsia" w:ascii="仿宋_GB2312" w:hAnsi="Times New Roman" w:eastAsia="仿宋_GB2312"/>
          <w:sz w:val="32"/>
          <w:szCs w:val="32"/>
        </w:rPr>
        <w:t>、组织、指导、管理、协助全区对台工作；检查了解全区贯彻执行中共中央、国务院，省委、省政府，市委、市政府对台工作方针、政策情况。</w:t>
      </w:r>
    </w:p>
    <w:p>
      <w:pPr>
        <w:autoSpaceDE w:val="0"/>
        <w:snapToGrid w:val="0"/>
        <w:spacing w:line="500" w:lineRule="exact"/>
        <w:ind w:firstLine="640" w:firstLineChars="200"/>
        <w:rPr>
          <w:rFonts w:ascii="仿宋_GB2312" w:hAnsi="Times New Roman" w:eastAsia="仿宋_GB2312"/>
          <w:sz w:val="32"/>
          <w:szCs w:val="32"/>
        </w:rPr>
      </w:pPr>
      <w:r>
        <w:rPr>
          <w:rFonts w:ascii="仿宋_GB2312" w:hAnsi="Times New Roman" w:eastAsia="仿宋_GB2312"/>
          <w:sz w:val="32"/>
          <w:szCs w:val="32"/>
        </w:rPr>
        <w:t>3</w:t>
      </w:r>
      <w:r>
        <w:rPr>
          <w:rFonts w:hint="eastAsia" w:ascii="仿宋_GB2312" w:hAnsi="Times New Roman" w:eastAsia="仿宋_GB2312"/>
          <w:sz w:val="32"/>
          <w:szCs w:val="32"/>
        </w:rPr>
        <w:t>、根据台湾形式和两岸关系发展的动向，结合我区工作情况提出对策建议。</w:t>
      </w:r>
    </w:p>
    <w:p>
      <w:pPr>
        <w:autoSpaceDE w:val="0"/>
        <w:snapToGrid w:val="0"/>
        <w:spacing w:line="500" w:lineRule="exact"/>
        <w:ind w:firstLine="640" w:firstLineChars="200"/>
        <w:rPr>
          <w:rFonts w:ascii="仿宋_GB2312" w:hAnsi="Times New Roman" w:eastAsia="仿宋_GB2312"/>
          <w:sz w:val="32"/>
          <w:szCs w:val="32"/>
        </w:rPr>
      </w:pPr>
      <w:r>
        <w:rPr>
          <w:rFonts w:ascii="仿宋_GB2312" w:hAnsi="Times New Roman" w:eastAsia="仿宋_GB2312"/>
          <w:sz w:val="32"/>
          <w:szCs w:val="32"/>
        </w:rPr>
        <w:t>4</w:t>
      </w:r>
      <w:r>
        <w:rPr>
          <w:rFonts w:hint="eastAsia" w:ascii="仿宋_GB2312" w:hAnsi="Times New Roman" w:eastAsia="仿宋_GB2312"/>
          <w:sz w:val="32"/>
          <w:szCs w:val="32"/>
        </w:rPr>
        <w:t>、协调有关部门研究管理涉台事务。</w:t>
      </w:r>
    </w:p>
    <w:p>
      <w:pPr>
        <w:autoSpaceDE w:val="0"/>
        <w:snapToGrid w:val="0"/>
        <w:spacing w:line="500" w:lineRule="exact"/>
        <w:ind w:firstLine="640" w:firstLineChars="200"/>
        <w:rPr>
          <w:rFonts w:ascii="仿宋_GB2312" w:hAnsi="Times New Roman" w:eastAsia="仿宋_GB2312"/>
          <w:sz w:val="32"/>
          <w:szCs w:val="32"/>
        </w:rPr>
      </w:pPr>
      <w:r>
        <w:rPr>
          <w:rFonts w:ascii="仿宋_GB2312" w:hAnsi="Times New Roman" w:eastAsia="仿宋_GB2312"/>
          <w:sz w:val="32"/>
          <w:szCs w:val="32"/>
        </w:rPr>
        <w:t>5</w:t>
      </w:r>
      <w:r>
        <w:rPr>
          <w:rFonts w:hint="eastAsia" w:ascii="仿宋_GB2312" w:hAnsi="Times New Roman" w:eastAsia="仿宋_GB2312"/>
          <w:sz w:val="32"/>
          <w:szCs w:val="32"/>
        </w:rPr>
        <w:t>、会同有关部门统筹协调和指导全区的对台经贸工作和与台湾在金融、文化、学术、教育、体育、科技等领域的交流与合作以及两岸人员往来、考察研讨等工作。</w:t>
      </w:r>
    </w:p>
    <w:p>
      <w:pPr>
        <w:autoSpaceDE w:val="0"/>
        <w:snapToGrid w:val="0"/>
        <w:spacing w:line="500" w:lineRule="exact"/>
        <w:ind w:firstLine="640" w:firstLineChars="200"/>
        <w:rPr>
          <w:rFonts w:ascii="仿宋_GB2312" w:hAnsi="Times New Roman" w:eastAsia="仿宋_GB2312"/>
          <w:sz w:val="32"/>
          <w:szCs w:val="32"/>
        </w:rPr>
      </w:pPr>
      <w:r>
        <w:rPr>
          <w:rFonts w:ascii="仿宋_GB2312" w:hAnsi="Times New Roman" w:eastAsia="仿宋_GB2312"/>
          <w:sz w:val="32"/>
          <w:szCs w:val="32"/>
        </w:rPr>
        <w:t>6</w:t>
      </w:r>
      <w:r>
        <w:rPr>
          <w:rFonts w:hint="eastAsia" w:ascii="仿宋_GB2312" w:hAnsi="Times New Roman" w:eastAsia="仿宋_GB2312"/>
          <w:sz w:val="32"/>
          <w:szCs w:val="32"/>
        </w:rPr>
        <w:t>、负责组织实施对台宣传工作，进行对台方针政策和台湾形势的宣传教育。</w:t>
      </w:r>
    </w:p>
    <w:p>
      <w:pPr>
        <w:autoSpaceDE w:val="0"/>
        <w:snapToGrid w:val="0"/>
        <w:spacing w:line="500" w:lineRule="exact"/>
        <w:ind w:firstLine="640" w:firstLineChars="200"/>
        <w:rPr>
          <w:rFonts w:ascii="仿宋_GB2312" w:hAnsi="Times New Roman" w:eastAsia="仿宋_GB2312"/>
          <w:sz w:val="32"/>
          <w:szCs w:val="32"/>
        </w:rPr>
      </w:pPr>
      <w:r>
        <w:rPr>
          <w:rFonts w:ascii="仿宋_GB2312" w:hAnsi="Times New Roman" w:eastAsia="仿宋_GB2312"/>
          <w:sz w:val="32"/>
          <w:szCs w:val="32"/>
        </w:rPr>
        <w:t>7</w:t>
      </w:r>
      <w:r>
        <w:rPr>
          <w:rFonts w:hint="eastAsia" w:ascii="仿宋_GB2312" w:hAnsi="Times New Roman" w:eastAsia="仿宋_GB2312"/>
          <w:sz w:val="32"/>
          <w:szCs w:val="32"/>
        </w:rPr>
        <w:t>、负责联络市委台办交办的台湾上层人士和我区在台湾人士中的上层重点人士，指导、管理并协调有关部门对台湾上层人士的联络工作。</w:t>
      </w:r>
    </w:p>
    <w:p>
      <w:pPr>
        <w:autoSpaceDE w:val="0"/>
        <w:snapToGrid w:val="0"/>
        <w:spacing w:line="500" w:lineRule="exact"/>
        <w:ind w:firstLine="640" w:firstLineChars="200"/>
        <w:rPr>
          <w:rFonts w:ascii="仿宋_GB2312" w:hAnsi="Times New Roman" w:eastAsia="仿宋_GB2312"/>
          <w:sz w:val="32"/>
          <w:szCs w:val="32"/>
        </w:rPr>
      </w:pPr>
      <w:r>
        <w:rPr>
          <w:rFonts w:ascii="仿宋_GB2312" w:hAnsi="Times New Roman" w:eastAsia="仿宋_GB2312"/>
          <w:sz w:val="32"/>
          <w:szCs w:val="32"/>
        </w:rPr>
        <w:t>8</w:t>
      </w:r>
      <w:r>
        <w:rPr>
          <w:rFonts w:hint="eastAsia" w:ascii="仿宋_GB2312" w:hAnsi="Times New Roman" w:eastAsia="仿宋_GB2312"/>
          <w:sz w:val="32"/>
          <w:szCs w:val="32"/>
        </w:rPr>
        <w:t>、负责处理我区涉台重大事件；指导区工商联和其他社会团体有关重点人士，重大活动等方面的涉台工作。</w:t>
      </w:r>
    </w:p>
    <w:p>
      <w:pPr>
        <w:autoSpaceDE w:val="0"/>
        <w:snapToGrid w:val="0"/>
        <w:spacing w:line="500" w:lineRule="exact"/>
        <w:ind w:firstLine="640" w:firstLineChars="200"/>
        <w:rPr>
          <w:rFonts w:ascii="仿宋_GB2312" w:hAnsi="Times New Roman" w:eastAsia="仿宋_GB2312"/>
          <w:sz w:val="32"/>
          <w:szCs w:val="32"/>
        </w:rPr>
      </w:pPr>
      <w:r>
        <w:rPr>
          <w:rFonts w:ascii="仿宋_GB2312" w:hAnsi="Times New Roman" w:eastAsia="仿宋_GB2312"/>
          <w:sz w:val="32"/>
          <w:szCs w:val="32"/>
        </w:rPr>
        <w:t>9</w:t>
      </w:r>
      <w:r>
        <w:rPr>
          <w:rFonts w:hint="eastAsia" w:ascii="仿宋_GB2312" w:hAnsi="Times New Roman" w:eastAsia="仿宋_GB2312"/>
          <w:sz w:val="32"/>
          <w:szCs w:val="32"/>
        </w:rPr>
        <w:t>、负责组织、协调来我区的台湾各界人士的接待服务。</w:t>
      </w:r>
    </w:p>
    <w:p>
      <w:pPr>
        <w:autoSpaceDE w:val="0"/>
        <w:snapToGrid w:val="0"/>
        <w:spacing w:line="500" w:lineRule="exact"/>
        <w:ind w:firstLine="640" w:firstLineChars="200"/>
        <w:rPr>
          <w:rFonts w:ascii="仿宋_GB2312" w:hAnsi="Times New Roman" w:eastAsia="仿宋_GB2312"/>
          <w:sz w:val="32"/>
          <w:szCs w:val="32"/>
        </w:rPr>
      </w:pPr>
      <w:r>
        <w:rPr>
          <w:rFonts w:ascii="仿宋_GB2312" w:hAnsi="Times New Roman" w:eastAsia="仿宋_GB2312"/>
          <w:sz w:val="32"/>
          <w:szCs w:val="32"/>
        </w:rPr>
        <w:t>10</w:t>
      </w:r>
      <w:r>
        <w:rPr>
          <w:rFonts w:hint="eastAsia" w:ascii="仿宋_GB2312" w:hAnsi="Times New Roman" w:eastAsia="仿宋_GB2312"/>
          <w:sz w:val="32"/>
          <w:szCs w:val="32"/>
        </w:rPr>
        <w:t>、负责我区与台湾的新闻交流。</w:t>
      </w:r>
    </w:p>
    <w:p>
      <w:pPr>
        <w:autoSpaceDE w:val="0"/>
        <w:snapToGrid w:val="0"/>
        <w:spacing w:line="500" w:lineRule="exact"/>
        <w:ind w:firstLine="640" w:firstLineChars="200"/>
        <w:rPr>
          <w:rFonts w:ascii="仿宋_GB2312" w:hAnsi="Times New Roman" w:eastAsia="仿宋_GB2312"/>
          <w:sz w:val="32"/>
          <w:szCs w:val="32"/>
        </w:rPr>
      </w:pPr>
      <w:r>
        <w:rPr>
          <w:rFonts w:ascii="仿宋_GB2312" w:hAnsi="Times New Roman" w:eastAsia="仿宋_GB2312"/>
          <w:sz w:val="32"/>
          <w:szCs w:val="32"/>
        </w:rPr>
        <w:t>11</w:t>
      </w:r>
      <w:r>
        <w:rPr>
          <w:rFonts w:hint="eastAsia" w:ascii="仿宋_GB2312" w:hAnsi="Times New Roman" w:eastAsia="仿宋_GB2312"/>
          <w:sz w:val="32"/>
          <w:szCs w:val="32"/>
        </w:rPr>
        <w:t>、承办区委、区政府和区委统战部交办的其他事项。</w:t>
      </w:r>
    </w:p>
    <w:p>
      <w:pPr>
        <w:adjustRightInd w:val="0"/>
        <w:snapToGrid w:val="0"/>
        <w:spacing w:line="360" w:lineRule="auto"/>
        <w:ind w:firstLine="640"/>
        <w:rPr>
          <w:rFonts w:ascii="仿宋_GB2312" w:hAnsi="Times New Roman" w:eastAsia="仿宋_GB2312"/>
          <w:sz w:val="32"/>
          <w:szCs w:val="32"/>
        </w:rPr>
      </w:pPr>
    </w:p>
    <w:p>
      <w:pPr>
        <w:adjustRightInd w:val="0"/>
        <w:snapToGrid w:val="0"/>
        <w:spacing w:line="360" w:lineRule="auto"/>
        <w:ind w:firstLine="640"/>
        <w:rPr>
          <w:rFonts w:ascii="黑体" w:hAnsi="黑体" w:eastAsia="黑体"/>
          <w:sz w:val="32"/>
          <w:szCs w:val="32"/>
        </w:rPr>
      </w:pPr>
      <w:r>
        <w:rPr>
          <w:rFonts w:hint="eastAsia" w:ascii="黑体" w:hAnsi="黑体" w:eastAsia="黑体"/>
          <w:sz w:val="32"/>
          <w:szCs w:val="32"/>
        </w:rPr>
        <w:t>二、机构设置</w:t>
      </w:r>
    </w:p>
    <w:p>
      <w:pPr>
        <w:kinsoku w:val="0"/>
        <w:overflowPunct w:val="0"/>
        <w:autoSpaceDE w:val="0"/>
        <w:autoSpaceDN w:val="0"/>
        <w:adjustRightInd w:val="0"/>
        <w:snapToGrid w:val="0"/>
        <w:spacing w:before="100" w:beforeAutospacing="1" w:after="100" w:afterAutospacing="1" w:line="360" w:lineRule="auto"/>
        <w:ind w:right="118" w:firstLine="320" w:firstLineChars="1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中共三门峡市湖滨区委统战部</w:t>
      </w:r>
      <w:r>
        <w:rPr>
          <w:rFonts w:hint="eastAsia" w:ascii="仿宋_GB2312" w:hAnsi="宋体" w:eastAsia="仿宋_GB2312" w:cs="宋体"/>
          <w:spacing w:val="2"/>
          <w:kern w:val="0"/>
          <w:sz w:val="32"/>
          <w:szCs w:val="32"/>
        </w:rPr>
        <w:t>部门</w:t>
      </w:r>
      <w:r>
        <w:rPr>
          <w:rFonts w:hint="eastAsia" w:ascii="仿宋_GB2312" w:hAnsi="宋体" w:eastAsia="仿宋_GB2312" w:cs="宋体"/>
          <w:kern w:val="0"/>
          <w:sz w:val="32"/>
          <w:szCs w:val="32"/>
        </w:rPr>
        <w:t>决</w:t>
      </w:r>
      <w:r>
        <w:rPr>
          <w:rFonts w:hint="eastAsia" w:ascii="仿宋_GB2312" w:hAnsi="宋体" w:eastAsia="仿宋_GB2312" w:cs="宋体"/>
          <w:spacing w:val="2"/>
          <w:kern w:val="0"/>
          <w:sz w:val="32"/>
          <w:szCs w:val="32"/>
        </w:rPr>
        <w:t>算包括</w:t>
      </w:r>
      <w:r>
        <w:rPr>
          <w:rFonts w:hint="eastAsia" w:ascii="仿宋_GB2312" w:hAnsi="宋体" w:eastAsia="仿宋_GB2312" w:cs="宋体"/>
          <w:kern w:val="0"/>
          <w:sz w:val="32"/>
          <w:szCs w:val="32"/>
        </w:rPr>
        <w:t>单位</w:t>
      </w:r>
      <w:r>
        <w:rPr>
          <w:rFonts w:hint="eastAsia" w:ascii="仿宋_GB2312" w:hAnsi="宋体" w:eastAsia="仿宋_GB2312" w:cs="宋体"/>
          <w:spacing w:val="2"/>
          <w:kern w:val="0"/>
          <w:sz w:val="32"/>
          <w:szCs w:val="32"/>
        </w:rPr>
        <w:t>机关本级。</w:t>
      </w:r>
      <w:r>
        <w:rPr>
          <w:rFonts w:hint="eastAsia" w:ascii="仿宋_GB2312" w:hAnsi="宋体" w:eastAsia="仿宋_GB2312" w:cs="宋体"/>
          <w:kern w:val="0"/>
          <w:sz w:val="32"/>
          <w:szCs w:val="32"/>
        </w:rPr>
        <w:t>本决算为</w:t>
      </w:r>
      <w:r>
        <w:rPr>
          <w:rFonts w:hint="eastAsia" w:ascii="仿宋_GB2312" w:hAnsi="宋体" w:eastAsia="仿宋_GB2312" w:cs="宋体"/>
          <w:kern w:val="0"/>
          <w:sz w:val="32"/>
          <w:szCs w:val="32"/>
          <w:lang w:val="en-US" w:eastAsia="zh-CN"/>
        </w:rPr>
        <w:t>本级</w:t>
      </w:r>
      <w:r>
        <w:rPr>
          <w:rFonts w:hint="eastAsia" w:ascii="仿宋_GB2312" w:hAnsi="宋体" w:eastAsia="仿宋_GB2312" w:cs="宋体"/>
          <w:kern w:val="0"/>
          <w:sz w:val="32"/>
          <w:szCs w:val="32"/>
        </w:rPr>
        <w:t>决算。</w:t>
      </w:r>
    </w:p>
    <w:p>
      <w:pPr>
        <w:kinsoku w:val="0"/>
        <w:overflowPunct w:val="0"/>
        <w:autoSpaceDE w:val="0"/>
        <w:autoSpaceDN w:val="0"/>
        <w:adjustRightInd w:val="0"/>
        <w:snapToGrid w:val="0"/>
        <w:spacing w:before="100" w:beforeAutospacing="1" w:after="100" w:afterAutospacing="1" w:line="360" w:lineRule="auto"/>
        <w:ind w:right="118" w:firstLine="320" w:firstLineChars="100"/>
        <w:jc w:val="left"/>
        <w:rPr>
          <w:rFonts w:ascii="仿宋_GB2312" w:hAnsi="宋体" w:eastAsia="仿宋_GB2312" w:cs="宋体"/>
          <w:kern w:val="0"/>
          <w:sz w:val="32"/>
          <w:szCs w:val="32"/>
        </w:rPr>
      </w:pPr>
    </w:p>
    <w:p>
      <w:pPr>
        <w:kinsoku w:val="0"/>
        <w:overflowPunct w:val="0"/>
        <w:autoSpaceDE w:val="0"/>
        <w:autoSpaceDN w:val="0"/>
        <w:adjustRightInd w:val="0"/>
        <w:snapToGrid w:val="0"/>
        <w:spacing w:before="100" w:beforeAutospacing="1" w:after="100" w:afterAutospacing="1" w:line="360" w:lineRule="auto"/>
        <w:ind w:right="118" w:firstLine="320" w:firstLineChars="100"/>
        <w:jc w:val="left"/>
        <w:rPr>
          <w:rFonts w:ascii="仿宋_GB2312" w:hAnsi="宋体" w:eastAsia="仿宋_GB2312" w:cs="宋体"/>
          <w:kern w:val="0"/>
          <w:sz w:val="32"/>
          <w:szCs w:val="32"/>
        </w:rPr>
      </w:pPr>
    </w:p>
    <w:p>
      <w:pPr>
        <w:kinsoku w:val="0"/>
        <w:overflowPunct w:val="0"/>
        <w:autoSpaceDE w:val="0"/>
        <w:autoSpaceDN w:val="0"/>
        <w:adjustRightInd w:val="0"/>
        <w:snapToGrid w:val="0"/>
        <w:spacing w:before="100" w:beforeAutospacing="1" w:after="100" w:afterAutospacing="1" w:line="360" w:lineRule="auto"/>
        <w:ind w:right="118" w:firstLine="320" w:firstLineChars="100"/>
        <w:jc w:val="left"/>
        <w:rPr>
          <w:rFonts w:ascii="仿宋_GB2312" w:hAnsi="宋体" w:eastAsia="仿宋_GB2312" w:cs="宋体"/>
          <w:kern w:val="0"/>
          <w:sz w:val="32"/>
          <w:szCs w:val="32"/>
        </w:rPr>
      </w:pPr>
    </w:p>
    <w:p>
      <w:pPr>
        <w:kinsoku w:val="0"/>
        <w:overflowPunct w:val="0"/>
        <w:autoSpaceDE w:val="0"/>
        <w:autoSpaceDN w:val="0"/>
        <w:adjustRightInd w:val="0"/>
        <w:snapToGrid w:val="0"/>
        <w:spacing w:before="100" w:beforeAutospacing="1" w:after="100" w:afterAutospacing="1" w:line="360" w:lineRule="auto"/>
        <w:ind w:right="118" w:firstLine="320" w:firstLineChars="100"/>
        <w:jc w:val="left"/>
        <w:rPr>
          <w:rFonts w:ascii="仿宋_GB2312" w:hAnsi="宋体" w:eastAsia="仿宋_GB2312" w:cs="宋体"/>
          <w:kern w:val="0"/>
          <w:sz w:val="32"/>
          <w:szCs w:val="32"/>
        </w:rPr>
      </w:pPr>
    </w:p>
    <w:p>
      <w:pPr>
        <w:kinsoku w:val="0"/>
        <w:overflowPunct w:val="0"/>
        <w:autoSpaceDE w:val="0"/>
        <w:autoSpaceDN w:val="0"/>
        <w:adjustRightInd w:val="0"/>
        <w:snapToGrid w:val="0"/>
        <w:spacing w:before="100" w:beforeAutospacing="1" w:after="100" w:afterAutospacing="1" w:line="360" w:lineRule="auto"/>
        <w:ind w:right="118" w:firstLine="320" w:firstLineChars="100"/>
        <w:jc w:val="left"/>
        <w:rPr>
          <w:rFonts w:ascii="仿宋_GB2312" w:hAnsi="宋体" w:eastAsia="仿宋_GB2312" w:cs="宋体"/>
          <w:kern w:val="0"/>
          <w:sz w:val="32"/>
          <w:szCs w:val="32"/>
        </w:rPr>
      </w:pPr>
    </w:p>
    <w:p>
      <w:pPr>
        <w:kinsoku w:val="0"/>
        <w:overflowPunct w:val="0"/>
        <w:autoSpaceDE w:val="0"/>
        <w:autoSpaceDN w:val="0"/>
        <w:adjustRightInd w:val="0"/>
        <w:snapToGrid w:val="0"/>
        <w:spacing w:before="100" w:beforeAutospacing="1" w:after="100" w:afterAutospacing="1" w:line="360" w:lineRule="auto"/>
        <w:ind w:right="118" w:firstLine="320" w:firstLineChars="100"/>
        <w:jc w:val="left"/>
        <w:rPr>
          <w:rFonts w:ascii="仿宋_GB2312" w:hAnsi="宋体" w:eastAsia="仿宋_GB2312" w:cs="宋体"/>
          <w:kern w:val="0"/>
          <w:sz w:val="32"/>
          <w:szCs w:val="32"/>
        </w:rPr>
      </w:pPr>
    </w:p>
    <w:p>
      <w:pPr>
        <w:kinsoku w:val="0"/>
        <w:overflowPunct w:val="0"/>
        <w:autoSpaceDE w:val="0"/>
        <w:autoSpaceDN w:val="0"/>
        <w:adjustRightInd w:val="0"/>
        <w:snapToGrid w:val="0"/>
        <w:spacing w:before="100" w:beforeAutospacing="1" w:after="100" w:afterAutospacing="1" w:line="360" w:lineRule="auto"/>
        <w:ind w:right="118" w:firstLine="320" w:firstLineChars="100"/>
        <w:jc w:val="left"/>
        <w:rPr>
          <w:rFonts w:ascii="仿宋_GB2312" w:hAnsi="宋体" w:eastAsia="仿宋_GB2312" w:cs="宋体"/>
          <w:kern w:val="0"/>
          <w:sz w:val="32"/>
          <w:szCs w:val="32"/>
        </w:rPr>
      </w:pPr>
    </w:p>
    <w:p>
      <w:pPr>
        <w:kinsoku w:val="0"/>
        <w:overflowPunct w:val="0"/>
        <w:autoSpaceDE w:val="0"/>
        <w:autoSpaceDN w:val="0"/>
        <w:adjustRightInd w:val="0"/>
        <w:snapToGrid w:val="0"/>
        <w:spacing w:before="100" w:beforeAutospacing="1" w:after="100" w:afterAutospacing="1" w:line="360" w:lineRule="auto"/>
        <w:ind w:right="118" w:firstLine="320" w:firstLineChars="100"/>
        <w:jc w:val="left"/>
        <w:rPr>
          <w:rFonts w:ascii="仿宋_GB2312" w:hAnsi="宋体" w:eastAsia="仿宋_GB2312" w:cs="宋体"/>
          <w:kern w:val="0"/>
          <w:sz w:val="32"/>
          <w:szCs w:val="32"/>
        </w:rPr>
      </w:pPr>
    </w:p>
    <w:p>
      <w:pPr>
        <w:kinsoku w:val="0"/>
        <w:overflowPunct w:val="0"/>
        <w:autoSpaceDE w:val="0"/>
        <w:autoSpaceDN w:val="0"/>
        <w:adjustRightInd w:val="0"/>
        <w:snapToGrid w:val="0"/>
        <w:spacing w:before="100" w:beforeAutospacing="1" w:after="100" w:afterAutospacing="1" w:line="360" w:lineRule="auto"/>
        <w:ind w:right="118" w:firstLine="320" w:firstLineChars="100"/>
        <w:jc w:val="left"/>
        <w:rPr>
          <w:rFonts w:ascii="仿宋_GB2312" w:hAnsi="宋体" w:eastAsia="仿宋_GB2312" w:cs="宋体"/>
          <w:kern w:val="0"/>
          <w:sz w:val="32"/>
          <w:szCs w:val="32"/>
        </w:rPr>
      </w:pPr>
    </w:p>
    <w:p>
      <w:pPr>
        <w:kinsoku w:val="0"/>
        <w:overflowPunct w:val="0"/>
        <w:autoSpaceDE w:val="0"/>
        <w:autoSpaceDN w:val="0"/>
        <w:adjustRightInd w:val="0"/>
        <w:snapToGrid w:val="0"/>
        <w:spacing w:before="100" w:beforeAutospacing="1" w:after="100" w:afterAutospacing="1" w:line="360" w:lineRule="auto"/>
        <w:ind w:right="118" w:firstLine="320" w:firstLineChars="100"/>
        <w:jc w:val="left"/>
        <w:rPr>
          <w:rFonts w:ascii="仿宋_GB2312" w:hAnsi="宋体" w:eastAsia="仿宋_GB2312" w:cs="宋体"/>
          <w:kern w:val="0"/>
          <w:sz w:val="32"/>
          <w:szCs w:val="32"/>
        </w:rPr>
      </w:pPr>
    </w:p>
    <w:p>
      <w:pPr>
        <w:widowControl/>
        <w:jc w:val="left"/>
        <w:rPr>
          <w:rFonts w:ascii="黑体" w:hAnsi="宋体" w:eastAsia="黑体" w:cs="宋体"/>
          <w:kern w:val="0"/>
          <w:sz w:val="28"/>
          <w:szCs w:val="28"/>
        </w:rPr>
      </w:pPr>
    </w:p>
    <w:p>
      <w:pPr>
        <w:outlineLvl w:val="0"/>
        <w:rPr>
          <w:rFonts w:ascii="黑体" w:hAnsi="黑体" w:eastAsia="黑体" w:cs="黑体"/>
          <w:sz w:val="48"/>
          <w:szCs w:val="48"/>
        </w:rPr>
      </w:pPr>
    </w:p>
    <w:p>
      <w:pPr>
        <w:outlineLvl w:val="0"/>
        <w:rPr>
          <w:rFonts w:ascii="黑体" w:hAnsi="黑体" w:eastAsia="黑体" w:cs="黑体"/>
          <w:sz w:val="48"/>
          <w:szCs w:val="48"/>
        </w:rPr>
      </w:pPr>
    </w:p>
    <w:p>
      <w:pPr>
        <w:outlineLvl w:val="0"/>
        <w:rPr>
          <w:rFonts w:ascii="黑体" w:hAnsi="黑体" w:eastAsia="黑体" w:cs="黑体"/>
          <w:sz w:val="48"/>
          <w:szCs w:val="48"/>
        </w:rPr>
      </w:pPr>
    </w:p>
    <w:p>
      <w:pPr>
        <w:outlineLvl w:val="0"/>
        <w:rPr>
          <w:rFonts w:ascii="黑体" w:hAnsi="黑体" w:eastAsia="黑体" w:cs="黑体"/>
          <w:sz w:val="48"/>
          <w:szCs w:val="48"/>
        </w:rPr>
      </w:pPr>
    </w:p>
    <w:p>
      <w:pPr>
        <w:ind w:firstLine="2880" w:firstLineChars="600"/>
        <w:outlineLvl w:val="0"/>
        <w:rPr>
          <w:rFonts w:ascii="宋体" w:hAnsi="宋体" w:cs="宋体"/>
          <w:sz w:val="48"/>
          <w:szCs w:val="48"/>
        </w:rPr>
      </w:pPr>
      <w:r>
        <w:rPr>
          <w:rFonts w:hint="eastAsia" w:ascii="宋体" w:hAnsi="宋体" w:cs="宋体"/>
          <w:sz w:val="48"/>
          <w:szCs w:val="48"/>
        </w:rPr>
        <w:t>第二部分</w:t>
      </w:r>
      <w:r>
        <w:rPr>
          <w:rFonts w:ascii="宋体" w:hAnsi="宋体" w:cs="宋体"/>
          <w:sz w:val="48"/>
          <w:szCs w:val="48"/>
        </w:rPr>
        <w:t xml:space="preserve"> </w:t>
      </w:r>
    </w:p>
    <w:p>
      <w:pPr>
        <w:ind w:firstLine="1920" w:firstLineChars="400"/>
        <w:outlineLvl w:val="0"/>
        <w:rPr>
          <w:rFonts w:ascii="黑体" w:hAnsi="黑体" w:eastAsia="黑体" w:cs="黑体"/>
          <w:sz w:val="48"/>
          <w:szCs w:val="48"/>
        </w:rPr>
      </w:pPr>
    </w:p>
    <w:p>
      <w:pPr>
        <w:ind w:firstLine="1920" w:firstLineChars="400"/>
        <w:outlineLvl w:val="0"/>
        <w:rPr>
          <w:rFonts w:ascii="黑体" w:hAnsi="黑体" w:eastAsia="黑体" w:cs="黑体"/>
          <w:sz w:val="48"/>
          <w:szCs w:val="48"/>
        </w:rPr>
      </w:pPr>
    </w:p>
    <w:p>
      <w:pPr>
        <w:ind w:firstLine="1920" w:firstLineChars="400"/>
        <w:outlineLvl w:val="0"/>
        <w:rPr>
          <w:rFonts w:ascii="黑体" w:hAnsi="黑体" w:eastAsia="黑体" w:cs="黑体"/>
          <w:sz w:val="48"/>
          <w:szCs w:val="48"/>
        </w:rPr>
      </w:pPr>
      <w:r>
        <w:rPr>
          <w:rFonts w:hint="eastAsia" w:ascii="黑体" w:hAnsi="黑体" w:eastAsia="黑体" w:cs="黑体"/>
          <w:sz w:val="48"/>
          <w:szCs w:val="48"/>
          <w:lang w:eastAsia="zh-CN"/>
        </w:rPr>
        <w:t>2019</w:t>
      </w:r>
      <w:r>
        <w:rPr>
          <w:rFonts w:hint="eastAsia" w:ascii="黑体" w:hAnsi="黑体" w:eastAsia="黑体" w:cs="黑体"/>
          <w:sz w:val="48"/>
          <w:szCs w:val="48"/>
        </w:rPr>
        <w:t>年度部门决算表</w:t>
      </w:r>
    </w:p>
    <w:p>
      <w:pPr>
        <w:widowControl/>
        <w:jc w:val="left"/>
        <w:rPr>
          <w:rFonts w:ascii="黑体" w:hAnsi="宋体" w:eastAsia="黑体" w:cs="宋体"/>
          <w:kern w:val="0"/>
          <w:sz w:val="28"/>
          <w:szCs w:val="28"/>
        </w:rPr>
      </w:pPr>
    </w:p>
    <w:p>
      <w:pPr>
        <w:widowControl/>
        <w:jc w:val="left"/>
        <w:sectPr>
          <w:pgSz w:w="11850" w:h="16783"/>
          <w:pgMar w:top="1440" w:right="1800" w:bottom="1440" w:left="1800" w:header="720" w:footer="720" w:gutter="0"/>
          <w:cols w:space="720" w:num="1"/>
          <w:docGrid w:type="lines" w:linePitch="312"/>
        </w:sectPr>
      </w:pPr>
    </w:p>
    <w:p>
      <w:pPr>
        <w:jc w:val="both"/>
        <w:rPr>
          <w:rFonts w:hint="eastAsia" w:ascii="仿宋_GB2312" w:hAnsi="仿宋_GB2312" w:eastAsia="仿宋_GB2312" w:cs="仿宋_GB2312"/>
          <w:sz w:val="32"/>
          <w:szCs w:val="32"/>
          <w:lang w:val="en-US" w:eastAsia="zh-CN"/>
        </w:rPr>
      </w:pPr>
      <w:r>
        <w:rPr>
          <w:rFonts w:ascii="Calibri" w:hAnsi="Calibri" w:eastAsia="宋体" w:cs="Times New Roman"/>
          <w:kern w:val="2"/>
          <w:sz w:val="21"/>
          <w:szCs w:val="22"/>
          <w:lang w:val="en-US" w:eastAsia="zh-CN" w:bidi="ar-SA"/>
        </w:rPr>
        <w:pict>
          <v:shape id="图片框 1027" o:spid="_x0000_s1027" type="#_x0000_t75" style="height:402.75pt;width:697.2pt;rotation:0f;" o:ole="f" fillcolor="#FFFFFF" filled="f" o:preferrelative="t" stroked="f" coordorigin="0,0" coordsize="21600,21600">
            <v:fill on="f" color2="#FFFFFF" focus="0%"/>
            <v:imagedata gain="65536f" blacklevel="0f" gamma="0" o:title="" r:id="rId7"/>
            <o:lock v:ext="edit" position="f" selection="f" grouping="f" rotation="f" cropping="f" text="f" aspectratio="t"/>
            <w10:wrap type="none"/>
            <w10:anchorlock/>
          </v:shape>
        </w:pict>
      </w:r>
    </w:p>
    <w:p>
      <w:pPr>
        <w:jc w:val="both"/>
        <w:rPr>
          <w:rFonts w:hint="eastAsia" w:ascii="仿宋_GB2312" w:hAnsi="仿宋_GB2312" w:eastAsia="仿宋_GB2312" w:cs="仿宋_GB2312"/>
          <w:sz w:val="32"/>
          <w:szCs w:val="32"/>
        </w:rPr>
      </w:pPr>
      <w:r>
        <w:rPr>
          <w:rFonts w:ascii="Calibri" w:hAnsi="Calibri" w:eastAsia="宋体" w:cs="Times New Roman"/>
          <w:kern w:val="2"/>
          <w:sz w:val="21"/>
          <w:szCs w:val="22"/>
          <w:lang w:val="en-US" w:eastAsia="zh-CN" w:bidi="ar-SA"/>
        </w:rPr>
        <w:pict>
          <v:shape id="图片框 1028" o:spid="_x0000_s1028" type="#_x0000_t75" style="height:362.8pt;width:697.9pt;rotation:0f;" o:ole="f" fillcolor="#FFFFFF" filled="f" o:preferrelative="t" stroked="f" coordorigin="0,0" coordsize="21600,21600">
            <v:fill on="f" color2="#FFFFFF" focus="0%"/>
            <v:imagedata gain="65536f" blacklevel="0f" gamma="0" o:title="" r:id="rId8"/>
            <o:lock v:ext="edit" position="f" selection="f" grouping="f" rotation="f" cropping="f" text="f" aspectratio="t"/>
            <w10:wrap type="none"/>
            <w10:anchorlock/>
          </v:shape>
        </w:pict>
      </w:r>
    </w:p>
    <w:p>
      <w:pPr>
        <w:jc w:val="both"/>
        <w:rPr>
          <w:rFonts w:hint="eastAsia" w:ascii="仿宋_GB2312" w:hAnsi="仿宋_GB2312" w:eastAsia="仿宋_GB2312" w:cs="仿宋_GB2312"/>
          <w:sz w:val="32"/>
          <w:szCs w:val="32"/>
        </w:rPr>
      </w:pPr>
    </w:p>
    <w:p>
      <w:pPr>
        <w:jc w:val="both"/>
        <w:rPr>
          <w:rFonts w:hint="eastAsia" w:ascii="仿宋_GB2312" w:hAnsi="仿宋_GB2312" w:eastAsia="仿宋_GB2312" w:cs="仿宋_GB2312"/>
          <w:sz w:val="32"/>
          <w:szCs w:val="32"/>
        </w:rPr>
      </w:pPr>
      <w:r>
        <w:rPr>
          <w:rFonts w:ascii="Calibri" w:hAnsi="Calibri" w:eastAsia="宋体" w:cs="Times New Roman"/>
          <w:kern w:val="2"/>
          <w:sz w:val="21"/>
          <w:szCs w:val="22"/>
          <w:lang w:val="en-US" w:eastAsia="zh-CN" w:bidi="ar-SA"/>
        </w:rPr>
        <w:pict>
          <v:shape id="图片框 1029" o:spid="_x0000_s1029" type="#_x0000_t75" style="height:391pt;width:697.85pt;rotation:0f;" o:ole="f" fillcolor="#FFFFFF" filled="f" o:preferrelative="t" stroked="f" coordorigin="0,0" coordsize="21600,21600">
            <v:fill on="f" color2="#FFFFFF" focus="0%"/>
            <v:imagedata gain="65536f" blacklevel="0f" gamma="0" o:title="" r:id="rId9"/>
            <o:lock v:ext="edit" position="f" selection="f" grouping="f" rotation="f" cropping="f" text="f" aspectratio="t"/>
            <w10:wrap type="none"/>
            <w10:anchorlock/>
          </v:shape>
        </w:pict>
      </w:r>
    </w:p>
    <w:p>
      <w:pPr>
        <w:jc w:val="both"/>
        <w:rPr>
          <w:rFonts w:hint="eastAsia" w:ascii="仿宋_GB2312" w:hAnsi="仿宋_GB2312" w:eastAsia="仿宋_GB2312" w:cs="仿宋_GB2312"/>
          <w:sz w:val="32"/>
          <w:szCs w:val="32"/>
        </w:rPr>
      </w:pPr>
      <w:r>
        <w:rPr>
          <w:rFonts w:ascii="Calibri" w:hAnsi="Calibri" w:eastAsia="宋体" w:cs="Times New Roman"/>
          <w:kern w:val="2"/>
          <w:sz w:val="21"/>
          <w:szCs w:val="22"/>
          <w:lang w:val="en-US" w:eastAsia="zh-CN" w:bidi="ar-SA"/>
        </w:rPr>
        <w:pict>
          <v:shape id="图片框 1030" o:spid="_x0000_s1030" type="#_x0000_t75" style="height:402.75pt;width:697.3pt;rotation:0f;" o:ole="f" fillcolor="#FFFFFF" filled="f" o:preferrelative="t" stroked="f" coordorigin="0,0" coordsize="21600,21600">
            <v:fill on="f" color2="#FFFFFF" focus="0%"/>
            <v:imagedata gain="65536f" blacklevel="0f" gamma="0" o:title="" r:id="rId10"/>
            <o:lock v:ext="edit" position="f" selection="f" grouping="f" rotation="f" cropping="f" text="f" aspectratio="t"/>
            <w10:wrap type="none"/>
            <w10:anchorlock/>
          </v:shape>
        </w:pict>
      </w:r>
    </w:p>
    <w:p>
      <w:pPr>
        <w:jc w:val="both"/>
        <w:rPr>
          <w:rFonts w:hint="eastAsia" w:ascii="仿宋_GB2312" w:hAnsi="仿宋_GB2312" w:eastAsia="仿宋_GB2312" w:cs="仿宋_GB2312"/>
          <w:sz w:val="32"/>
          <w:szCs w:val="32"/>
        </w:rPr>
      </w:pPr>
      <w:r>
        <w:rPr>
          <w:rFonts w:ascii="Calibri" w:hAnsi="Calibri" w:eastAsia="宋体" w:cs="Times New Roman"/>
          <w:kern w:val="2"/>
          <w:sz w:val="21"/>
          <w:szCs w:val="22"/>
          <w:lang w:val="en-US" w:eastAsia="zh-CN" w:bidi="ar-SA"/>
        </w:rPr>
        <w:pict>
          <v:shape id="图片框 1031" o:spid="_x0000_s1031" type="#_x0000_t75" style="height:374.25pt;width:695.25pt;rotation:0f;" o:ole="f" fillcolor="#FFFFFF" filled="f" o:preferrelative="t" stroked="f" coordorigin="0,0" coordsize="21600,21600">
            <v:fill on="f" color2="#FFFFFF" focus="0%"/>
            <v:imagedata gain="65536f" blacklevel="0f" gamma="0" o:title="" r:id="rId11"/>
            <o:lock v:ext="edit" position="f" selection="f" grouping="f" rotation="f" cropping="f" text="f" aspectratio="t"/>
            <w10:wrap type="none"/>
            <w10:anchorlock/>
          </v:shape>
        </w:pict>
      </w:r>
    </w:p>
    <w:p>
      <w:pPr>
        <w:jc w:val="both"/>
        <w:rPr>
          <w:rFonts w:hint="eastAsia" w:ascii="仿宋_GB2312" w:hAnsi="仿宋_GB2312" w:eastAsia="仿宋_GB2312" w:cs="仿宋_GB2312"/>
          <w:sz w:val="32"/>
          <w:szCs w:val="32"/>
        </w:rPr>
      </w:pPr>
    </w:p>
    <w:p>
      <w:pPr>
        <w:jc w:val="both"/>
        <w:rPr>
          <w:rFonts w:hint="eastAsia" w:ascii="仿宋_GB2312" w:hAnsi="仿宋_GB2312" w:eastAsia="仿宋_GB2312" w:cs="仿宋_GB2312"/>
          <w:sz w:val="32"/>
          <w:szCs w:val="32"/>
        </w:rPr>
      </w:pPr>
      <w:r>
        <w:rPr>
          <w:rFonts w:ascii="Calibri" w:hAnsi="Calibri" w:eastAsia="宋体" w:cs="Times New Roman"/>
          <w:kern w:val="2"/>
          <w:sz w:val="21"/>
          <w:szCs w:val="22"/>
          <w:lang w:val="en-US" w:eastAsia="zh-CN" w:bidi="ar-SA"/>
        </w:rPr>
        <w:pict>
          <v:shape id="图片框 1032" o:spid="_x0000_s1032" type="#_x0000_t75" style="height:409.35pt;width:697.75pt;rotation:0f;" o:ole="f" fillcolor="#FFFFFF" filled="f" o:preferrelative="t" stroked="f" coordorigin="0,0" coordsize="21600,21600">
            <v:fill on="f" color2="#FFFFFF" focus="0%"/>
            <v:imagedata gain="65536f" blacklevel="0f" gamma="0" o:title="" r:id="rId12"/>
            <o:lock v:ext="edit" position="f" selection="f" grouping="f" rotation="f" cropping="f" text="f" aspectratio="t"/>
            <w10:wrap type="none"/>
            <w10:anchorlock/>
          </v:shape>
        </w:pict>
      </w:r>
    </w:p>
    <w:p>
      <w:pPr>
        <w:jc w:val="both"/>
        <w:rPr>
          <w:rFonts w:hint="eastAsia" w:ascii="仿宋_GB2312" w:hAnsi="仿宋_GB2312" w:eastAsia="仿宋_GB2312" w:cs="仿宋_GB2312"/>
          <w:sz w:val="32"/>
          <w:szCs w:val="32"/>
        </w:rPr>
      </w:pPr>
      <w:r>
        <w:rPr>
          <w:rFonts w:ascii="Calibri" w:hAnsi="Calibri" w:eastAsia="宋体" w:cs="Times New Roman"/>
          <w:kern w:val="2"/>
          <w:sz w:val="21"/>
          <w:szCs w:val="22"/>
          <w:lang w:val="en-US" w:eastAsia="zh-CN" w:bidi="ar-SA"/>
        </w:rPr>
        <w:pict>
          <v:shape id="图片框 1033" o:spid="_x0000_s1033" type="#_x0000_t75" style="height:215.6pt;width:697.7pt;rotation:0f;" o:ole="f" fillcolor="#FFFFFF" filled="f" o:preferrelative="t" stroked="f" coordorigin="0,0" coordsize="21600,21600">
            <v:fill on="f" color2="#FFFFFF" focus="0%"/>
            <v:imagedata gain="65536f" blacklevel="0f" gamma="0" o:title="" r:id="rId13"/>
            <o:lock v:ext="edit" position="f" selection="f" grouping="f" rotation="f" cropping="f" text="f" aspectratio="t"/>
            <w10:wrap type="none"/>
            <w10:anchorlock/>
          </v:shape>
        </w:pict>
      </w:r>
    </w:p>
    <w:p>
      <w:pPr>
        <w:jc w:val="both"/>
        <w:rPr>
          <w:rFonts w:hint="eastAsia" w:ascii="仿宋_GB2312" w:hAnsi="仿宋_GB2312" w:eastAsia="仿宋_GB2312" w:cs="仿宋_GB2312"/>
          <w:sz w:val="32"/>
          <w:szCs w:val="32"/>
        </w:rPr>
      </w:pPr>
    </w:p>
    <w:p>
      <w:pPr>
        <w:jc w:val="both"/>
        <w:rPr>
          <w:rFonts w:hint="eastAsia" w:ascii="仿宋_GB2312" w:hAnsi="仿宋_GB2312" w:eastAsia="仿宋_GB2312" w:cs="仿宋_GB2312"/>
          <w:sz w:val="32"/>
          <w:szCs w:val="32"/>
        </w:rPr>
      </w:pPr>
    </w:p>
    <w:p>
      <w:pPr>
        <w:jc w:val="both"/>
        <w:rPr>
          <w:rFonts w:hint="eastAsia" w:ascii="仿宋_GB2312" w:hAnsi="仿宋_GB2312" w:eastAsia="仿宋_GB2312" w:cs="仿宋_GB2312"/>
          <w:sz w:val="32"/>
          <w:szCs w:val="32"/>
        </w:rPr>
      </w:pPr>
    </w:p>
    <w:p>
      <w:pPr>
        <w:jc w:val="both"/>
        <w:rPr>
          <w:rFonts w:hint="eastAsia" w:ascii="仿宋_GB2312" w:hAnsi="仿宋_GB2312" w:eastAsia="仿宋_GB2312" w:cs="仿宋_GB2312"/>
          <w:sz w:val="32"/>
          <w:szCs w:val="32"/>
        </w:rPr>
      </w:pPr>
    </w:p>
    <w:p>
      <w:pPr>
        <w:jc w:val="both"/>
        <w:rPr>
          <w:rFonts w:hint="eastAsia" w:ascii="仿宋_GB2312" w:hAnsi="仿宋_GB2312" w:eastAsia="仿宋_GB2312" w:cs="仿宋_GB2312"/>
          <w:sz w:val="32"/>
          <w:szCs w:val="32"/>
        </w:rPr>
      </w:pPr>
      <w:r>
        <w:rPr>
          <w:rFonts w:ascii="Calibri" w:hAnsi="Calibri" w:eastAsia="宋体" w:cs="Times New Roman"/>
          <w:kern w:val="2"/>
          <w:sz w:val="21"/>
          <w:szCs w:val="22"/>
          <w:lang w:val="en-US" w:eastAsia="zh-CN" w:bidi="ar-SA"/>
        </w:rPr>
        <w:pict>
          <v:shape id="图片框 1034" o:spid="_x0000_s1034" type="#_x0000_t75" style="height:274.6pt;width:697.45pt;rotation:0f;" o:ole="f" fillcolor="#FFFFFF" filled="f" o:preferrelative="t" stroked="f" coordorigin="0,0" coordsize="21600,21600">
            <v:fill on="f" color2="#FFFFFF" focus="0%"/>
            <v:imagedata gain="65536f" blacklevel="0f" gamma="0" o:title="" r:id="rId14"/>
            <o:lock v:ext="edit" position="f" selection="f" grouping="f" rotation="f" cropping="f" text="f" aspectratio="t"/>
            <w10:wrap type="none"/>
            <w10:anchorlock/>
          </v:shape>
        </w:pict>
      </w:r>
    </w:p>
    <w:p>
      <w:pPr>
        <w:jc w:val="both"/>
        <w:sectPr>
          <w:pgSz w:w="16838" w:h="11906" w:orient="landscape"/>
          <w:pgMar w:top="1800" w:right="1440" w:bottom="1800" w:left="1440" w:header="720" w:footer="720" w:gutter="0"/>
          <w:cols w:space="720" w:num="1"/>
          <w:docGrid w:type="lines" w:linePitch="312"/>
        </w:sectPr>
      </w:pPr>
      <w:r>
        <w:rPr>
          <w:rFonts w:hint="eastAsia" w:ascii="仿宋_GB2312" w:hAnsi="仿宋_GB2312" w:eastAsia="仿宋_GB2312" w:cs="仿宋_GB2312"/>
          <w:sz w:val="32"/>
          <w:szCs w:val="32"/>
        </w:rPr>
        <w:t>说明：我部门没有政府性基金收入，也没有使用政府性基金安排的支出，故本表无数据。</w:t>
      </w:r>
    </w:p>
    <w:p>
      <w:pPr>
        <w:jc w:val="center"/>
        <w:rPr>
          <w:rFonts w:ascii="黑体" w:hAnsi="黑体" w:eastAsia="黑体"/>
          <w:sz w:val="48"/>
        </w:rPr>
      </w:pPr>
    </w:p>
    <w:p>
      <w:pPr>
        <w:jc w:val="center"/>
        <w:rPr>
          <w:rFonts w:ascii="黑体" w:hAnsi="黑体" w:eastAsia="黑体"/>
          <w:sz w:val="48"/>
        </w:rPr>
      </w:pPr>
    </w:p>
    <w:p>
      <w:pPr>
        <w:jc w:val="center"/>
        <w:rPr>
          <w:rFonts w:ascii="黑体" w:hAnsi="黑体" w:eastAsia="黑体"/>
          <w:sz w:val="48"/>
        </w:rPr>
      </w:pPr>
    </w:p>
    <w:p>
      <w:pPr>
        <w:jc w:val="center"/>
        <w:rPr>
          <w:rFonts w:ascii="黑体" w:hAnsi="黑体" w:eastAsia="黑体"/>
          <w:sz w:val="48"/>
        </w:rPr>
      </w:pPr>
    </w:p>
    <w:p>
      <w:pPr>
        <w:jc w:val="center"/>
        <w:rPr>
          <w:rFonts w:ascii="黑体" w:hAnsi="黑体" w:eastAsia="黑体"/>
          <w:sz w:val="48"/>
        </w:rPr>
      </w:pPr>
    </w:p>
    <w:p>
      <w:pPr>
        <w:jc w:val="center"/>
        <w:rPr>
          <w:rFonts w:ascii="黑体" w:hAnsi="黑体" w:eastAsia="黑体"/>
          <w:sz w:val="48"/>
        </w:rPr>
      </w:pPr>
    </w:p>
    <w:p>
      <w:pPr>
        <w:jc w:val="center"/>
        <w:rPr>
          <w:rFonts w:ascii="黑体" w:hAnsi="黑体" w:eastAsia="黑体"/>
          <w:sz w:val="48"/>
        </w:rPr>
      </w:pPr>
    </w:p>
    <w:p>
      <w:pPr>
        <w:ind w:firstLine="3360" w:firstLineChars="700"/>
        <w:rPr>
          <w:rFonts w:ascii="宋体" w:cs="宋体"/>
          <w:sz w:val="48"/>
        </w:rPr>
      </w:pPr>
      <w:r>
        <w:rPr>
          <w:rFonts w:hint="eastAsia" w:ascii="宋体" w:hAnsi="宋体" w:cs="宋体"/>
          <w:sz w:val="48"/>
        </w:rPr>
        <w:t>第三部分</w:t>
      </w:r>
    </w:p>
    <w:p>
      <w:pPr>
        <w:jc w:val="center"/>
        <w:rPr>
          <w:rFonts w:ascii="黑体" w:hAnsi="黑体" w:eastAsia="黑体"/>
          <w:sz w:val="48"/>
        </w:rPr>
      </w:pPr>
    </w:p>
    <w:p>
      <w:pPr>
        <w:jc w:val="center"/>
        <w:rPr>
          <w:rFonts w:eastAsia="Times New Roman"/>
          <w:sz w:val="48"/>
        </w:rPr>
      </w:pPr>
      <w:r>
        <w:rPr>
          <w:rFonts w:hint="eastAsia" w:ascii="黑体" w:hAnsi="黑体" w:eastAsia="黑体"/>
          <w:sz w:val="48"/>
          <w:lang w:eastAsia="zh-CN"/>
        </w:rPr>
        <w:t>2019</w:t>
      </w:r>
      <w:r>
        <w:rPr>
          <w:rFonts w:hint="eastAsia" w:ascii="黑体" w:hAnsi="黑体" w:eastAsia="黑体"/>
          <w:sz w:val="48"/>
        </w:rPr>
        <w:t>年度部门决算情况说明</w:t>
      </w:r>
    </w:p>
    <w:p>
      <w:pPr>
        <w:ind w:firstLine="640"/>
        <w:jc w:val="left"/>
        <w:rPr>
          <w:rFonts w:ascii="黑体" w:hAnsi="黑体" w:eastAsia="黑体"/>
          <w:sz w:val="32"/>
        </w:rPr>
      </w:pPr>
    </w:p>
    <w:p>
      <w:pPr>
        <w:ind w:firstLine="640"/>
        <w:jc w:val="left"/>
        <w:rPr>
          <w:rFonts w:ascii="黑体" w:hAnsi="黑体" w:eastAsia="黑体"/>
          <w:sz w:val="32"/>
        </w:rPr>
      </w:pPr>
    </w:p>
    <w:p>
      <w:pPr>
        <w:ind w:firstLine="640"/>
        <w:jc w:val="left"/>
        <w:rPr>
          <w:rFonts w:ascii="黑体" w:hAnsi="黑体" w:eastAsia="黑体"/>
          <w:sz w:val="32"/>
        </w:rPr>
      </w:pPr>
    </w:p>
    <w:p>
      <w:pPr>
        <w:ind w:firstLine="640"/>
        <w:jc w:val="left"/>
        <w:rPr>
          <w:rFonts w:ascii="黑体" w:hAnsi="黑体" w:eastAsia="黑体"/>
          <w:sz w:val="32"/>
        </w:rPr>
      </w:pPr>
    </w:p>
    <w:p>
      <w:pPr>
        <w:ind w:firstLine="640"/>
        <w:jc w:val="left"/>
        <w:rPr>
          <w:rFonts w:ascii="黑体" w:hAnsi="黑体" w:eastAsia="黑体"/>
          <w:sz w:val="32"/>
        </w:rPr>
      </w:pPr>
    </w:p>
    <w:p>
      <w:pPr>
        <w:ind w:firstLine="640"/>
        <w:jc w:val="left"/>
        <w:rPr>
          <w:rFonts w:ascii="黑体" w:hAnsi="黑体" w:eastAsia="黑体"/>
          <w:sz w:val="32"/>
        </w:rPr>
      </w:pPr>
    </w:p>
    <w:p>
      <w:pPr>
        <w:ind w:firstLine="640"/>
        <w:jc w:val="left"/>
        <w:rPr>
          <w:rFonts w:ascii="黑体" w:hAnsi="黑体" w:eastAsia="黑体"/>
          <w:sz w:val="32"/>
        </w:rPr>
      </w:pPr>
    </w:p>
    <w:p>
      <w:pPr>
        <w:ind w:firstLine="640"/>
        <w:jc w:val="left"/>
        <w:rPr>
          <w:rFonts w:ascii="黑体" w:hAnsi="黑体" w:eastAsia="黑体"/>
          <w:sz w:val="32"/>
        </w:rPr>
      </w:pPr>
    </w:p>
    <w:p>
      <w:pPr>
        <w:ind w:firstLine="640"/>
        <w:jc w:val="left"/>
        <w:rPr>
          <w:rFonts w:ascii="黑体" w:hAnsi="黑体" w:eastAsia="黑体"/>
          <w:sz w:val="32"/>
        </w:rPr>
      </w:pPr>
    </w:p>
    <w:p>
      <w:pPr>
        <w:ind w:firstLine="640"/>
        <w:jc w:val="left"/>
        <w:rPr>
          <w:rFonts w:ascii="黑体" w:hAnsi="黑体" w:eastAsia="黑体"/>
          <w:sz w:val="32"/>
        </w:rPr>
      </w:pPr>
    </w:p>
    <w:p>
      <w:pPr>
        <w:ind w:firstLine="640"/>
        <w:jc w:val="left"/>
        <w:rPr>
          <w:rFonts w:ascii="黑体" w:hAnsi="黑体" w:eastAsia="黑体"/>
          <w:sz w:val="32"/>
        </w:rPr>
      </w:pPr>
    </w:p>
    <w:p>
      <w:pPr>
        <w:ind w:firstLine="640"/>
        <w:jc w:val="left"/>
        <w:rPr>
          <w:rFonts w:ascii="黑体" w:hAnsi="黑体" w:eastAsia="黑体"/>
          <w:sz w:val="32"/>
        </w:rPr>
      </w:pPr>
    </w:p>
    <w:p>
      <w:pPr>
        <w:ind w:firstLine="640"/>
        <w:jc w:val="left"/>
        <w:rPr>
          <w:rFonts w:ascii="黑体" w:hAnsi="黑体" w:eastAsia="黑体"/>
          <w:sz w:val="32"/>
        </w:rPr>
      </w:pPr>
    </w:p>
    <w:p>
      <w:pPr>
        <w:ind w:firstLine="640"/>
        <w:jc w:val="left"/>
        <w:rPr>
          <w:rFonts w:ascii="黑体" w:hAnsi="黑体" w:eastAsia="黑体"/>
          <w:sz w:val="32"/>
        </w:rPr>
      </w:pPr>
    </w:p>
    <w:p>
      <w:pPr>
        <w:ind w:firstLine="640"/>
        <w:jc w:val="left"/>
        <w:rPr>
          <w:rFonts w:ascii="黑体" w:hAnsi="黑体" w:eastAsia="黑体"/>
          <w:sz w:val="32"/>
        </w:rPr>
      </w:pPr>
    </w:p>
    <w:p>
      <w:pPr>
        <w:ind w:firstLine="640"/>
        <w:jc w:val="left"/>
        <w:rPr>
          <w:rFonts w:ascii="黑体" w:hAnsi="黑体" w:eastAsia="黑体"/>
          <w:sz w:val="32"/>
        </w:rPr>
      </w:pPr>
    </w:p>
    <w:p>
      <w:pPr>
        <w:widowControl w:val="0"/>
        <w:wordWrap/>
        <w:adjustRightInd/>
        <w:snapToGrid/>
        <w:spacing w:line="560" w:lineRule="exact"/>
        <w:ind w:firstLine="640"/>
        <w:jc w:val="left"/>
        <w:textAlignment w:val="auto"/>
        <w:rPr>
          <w:rFonts w:hint="eastAsia" w:ascii="黑体" w:hAnsi="黑体" w:eastAsia="黑体" w:cs="黑体"/>
          <w:sz w:val="32"/>
        </w:rPr>
      </w:pPr>
      <w:r>
        <w:rPr>
          <w:rFonts w:hint="eastAsia" w:ascii="黑体" w:hAnsi="黑体" w:eastAsia="黑体" w:cs="黑体"/>
          <w:sz w:val="32"/>
        </w:rPr>
        <w:t>一、收入支出决算总体情况说明</w:t>
      </w:r>
    </w:p>
    <w:p>
      <w:pPr>
        <w:widowControl w:val="0"/>
        <w:wordWrap/>
        <w:adjustRightInd/>
        <w:snapToGrid/>
        <w:spacing w:line="560" w:lineRule="exact"/>
        <w:ind w:firstLine="640"/>
        <w:textAlignment w:val="auto"/>
        <w:rPr>
          <w:rFonts w:hint="eastAsia" w:ascii="仿宋_GB2312" w:hAnsi="仿宋_GB2312" w:eastAsia="仿宋_GB2312" w:cs="仿宋_GB2312"/>
          <w:sz w:val="32"/>
        </w:rPr>
      </w:pPr>
      <w:r>
        <w:rPr>
          <w:rFonts w:hint="eastAsia" w:ascii="仿宋_GB2312" w:hAnsi="仿宋_GB2312" w:eastAsia="仿宋_GB2312" w:cs="仿宋_GB2312"/>
          <w:sz w:val="32"/>
          <w:szCs w:val="32"/>
          <w:lang w:val="zh-CN"/>
        </w:rPr>
        <w:t>2019年度收、支总计均为126.03万元。与上年度相比，收、支总计各减少6.88万元，下降5.18%。</w:t>
      </w:r>
      <w:r>
        <w:rPr>
          <w:rFonts w:hint="eastAsia" w:ascii="仿宋_GB2312" w:hAnsi="仿宋_GB2312" w:eastAsia="仿宋_GB2312" w:cs="仿宋_GB2312"/>
          <w:sz w:val="32"/>
        </w:rPr>
        <w:t>主要原因是</w:t>
      </w:r>
      <w:r>
        <w:rPr>
          <w:rFonts w:hint="eastAsia" w:ascii="仿宋_GB2312" w:hAnsi="仿宋_GB2312" w:eastAsia="仿宋_GB2312" w:cs="仿宋_GB2312"/>
          <w:sz w:val="32"/>
          <w:lang w:eastAsia="zh-CN"/>
        </w:rPr>
        <w:t>压缩一般性公务支出</w:t>
      </w:r>
      <w:r>
        <w:rPr>
          <w:rFonts w:hint="eastAsia" w:ascii="仿宋_GB2312" w:hAnsi="仿宋_GB2312" w:eastAsia="仿宋_GB2312" w:cs="仿宋_GB2312"/>
          <w:sz w:val="32"/>
        </w:rPr>
        <w:t>。</w:t>
      </w:r>
    </w:p>
    <w:p>
      <w:pPr>
        <w:widowControl w:val="0"/>
        <w:wordWrap/>
        <w:adjustRightInd/>
        <w:snapToGrid/>
        <w:spacing w:line="560" w:lineRule="exact"/>
        <w:ind w:firstLine="640" w:firstLineChars="200"/>
        <w:jc w:val="left"/>
        <w:textAlignment w:val="auto"/>
        <w:rPr>
          <w:rFonts w:hint="eastAsia" w:ascii="黑体" w:hAnsi="黑体" w:eastAsia="黑体" w:cs="黑体"/>
          <w:sz w:val="32"/>
        </w:rPr>
      </w:pPr>
      <w:r>
        <w:rPr>
          <w:rFonts w:hint="eastAsia" w:ascii="黑体" w:hAnsi="黑体" w:eastAsia="黑体" w:cs="黑体"/>
          <w:sz w:val="32"/>
        </w:rPr>
        <w:t>二、收入决算情况说明</w:t>
      </w:r>
    </w:p>
    <w:p>
      <w:pPr>
        <w:jc w:val="left"/>
        <w:rPr>
          <w:rFonts w:hint="eastAsia" w:ascii="仿宋_GB2312" w:hAnsi="仿宋_GB2312" w:eastAsia="仿宋_GB2312" w:cs="仿宋_GB2312"/>
          <w:sz w:val="32"/>
        </w:rPr>
      </w:pPr>
      <w:r>
        <w:rPr>
          <w:rFonts w:hint="eastAsia" w:ascii="仿宋_GB2312" w:hAnsi="仿宋_GB2312" w:eastAsia="仿宋_GB2312" w:cs="仿宋_GB2312"/>
          <w:sz w:val="32"/>
          <w:szCs w:val="32"/>
          <w:lang w:val="zh-CN"/>
        </w:rPr>
        <w:t>2019年度收入合计124.65万元，其中：</w:t>
      </w:r>
      <w:r>
        <w:rPr>
          <w:rFonts w:hint="eastAsia" w:ascii="仿宋_GB2312" w:hAnsi="仿宋_GB2312" w:eastAsia="仿宋_GB2312" w:cs="仿宋_GB2312"/>
          <w:sz w:val="32"/>
          <w:szCs w:val="32"/>
          <w:lang w:val="en-US"/>
        </w:rPr>
        <w:t>财政拨款收入119.9万元，占96.19%；</w:t>
      </w:r>
      <w:r>
        <w:rPr>
          <w:rFonts w:hint="eastAsia" w:ascii="仿宋_GB2312" w:hAnsi="仿宋_GB2312" w:eastAsia="仿宋_GB2312" w:cs="仿宋_GB2312"/>
          <w:kern w:val="0"/>
          <w:sz w:val="32"/>
          <w:szCs w:val="32"/>
          <w:lang w:val="zh-CN"/>
        </w:rPr>
        <w:t>其他收入4.74万元，占3.81%。</w:t>
      </w:r>
    </w:p>
    <w:p>
      <w:pPr>
        <w:widowControl w:val="0"/>
        <w:wordWrap/>
        <w:adjustRightInd/>
        <w:snapToGrid/>
        <w:spacing w:line="560" w:lineRule="exact"/>
        <w:ind w:firstLine="640"/>
        <w:jc w:val="left"/>
        <w:textAlignment w:val="auto"/>
        <w:rPr>
          <w:rFonts w:hint="eastAsia" w:ascii="黑体" w:hAnsi="黑体" w:eastAsia="黑体" w:cs="黑体"/>
          <w:sz w:val="32"/>
        </w:rPr>
      </w:pPr>
      <w:r>
        <w:rPr>
          <w:rFonts w:hint="eastAsia" w:ascii="黑体" w:hAnsi="黑体" w:eastAsia="黑体" w:cs="黑体"/>
          <w:sz w:val="32"/>
        </w:rPr>
        <w:t>三、支出决算情况说明</w:t>
      </w:r>
    </w:p>
    <w:p>
      <w:pPr>
        <w:widowControl w:val="0"/>
        <w:wordWrap/>
        <w:adjustRightInd/>
        <w:snapToGrid/>
        <w:spacing w:line="560" w:lineRule="exact"/>
        <w:ind w:firstLine="640"/>
        <w:jc w:val="left"/>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lang w:eastAsia="zh-CN"/>
        </w:rPr>
        <w:t>2019年度支出合计126万元，其中：基本支出101.14万元，占80.27%；项目支出24.86万元，占19.73%。</w:t>
      </w:r>
    </w:p>
    <w:p>
      <w:pPr>
        <w:widowControl w:val="0"/>
        <w:wordWrap/>
        <w:adjustRightInd/>
        <w:snapToGrid/>
        <w:spacing w:line="560" w:lineRule="exact"/>
        <w:ind w:firstLine="640"/>
        <w:jc w:val="left"/>
        <w:textAlignment w:val="auto"/>
        <w:rPr>
          <w:rFonts w:hint="eastAsia" w:ascii="黑体" w:hAnsi="黑体" w:eastAsia="黑体" w:cs="黑体"/>
          <w:sz w:val="32"/>
        </w:rPr>
      </w:pPr>
      <w:r>
        <w:rPr>
          <w:rFonts w:hint="eastAsia" w:ascii="黑体" w:hAnsi="黑体" w:eastAsia="黑体" w:cs="黑体"/>
          <w:sz w:val="32"/>
        </w:rPr>
        <w:t>四、财政拨款收入支出决算总体情况说明</w:t>
      </w:r>
    </w:p>
    <w:p>
      <w:pPr>
        <w:widowControl w:val="0"/>
        <w:wordWrap/>
        <w:adjustRightInd/>
        <w:snapToGrid/>
        <w:spacing w:line="560" w:lineRule="exact"/>
        <w:ind w:firstLine="640"/>
        <w:textAlignment w:val="auto"/>
        <w:rPr>
          <w:rFonts w:hint="eastAsia" w:ascii="仿宋_GB2312" w:hAnsi="仿宋_GB2312" w:eastAsia="仿宋_GB2312" w:cs="仿宋_GB2312"/>
          <w:sz w:val="32"/>
        </w:rPr>
      </w:pPr>
      <w:r>
        <w:rPr>
          <w:rFonts w:hint="eastAsia" w:ascii="仿宋_GB2312" w:hAnsi="仿宋_GB2312" w:eastAsia="仿宋_GB2312" w:cs="仿宋_GB2312"/>
          <w:sz w:val="32"/>
          <w:lang w:eastAsia="zh-CN"/>
        </w:rPr>
        <w:t>2019年度财政拨款收、支总计均为121.29万元。与上年度相比，财政拨款收、支总计各减少11.62万元，下降8.75%。</w:t>
      </w:r>
      <w:r>
        <w:rPr>
          <w:rFonts w:hint="eastAsia" w:ascii="仿宋_GB2312" w:hAnsi="仿宋_GB2312" w:eastAsia="仿宋_GB2312" w:cs="仿宋_GB2312"/>
          <w:sz w:val="32"/>
        </w:rPr>
        <w:t>主要原因是</w:t>
      </w:r>
      <w:r>
        <w:rPr>
          <w:rFonts w:hint="eastAsia" w:ascii="仿宋_GB2312" w:hAnsi="仿宋_GB2312" w:eastAsia="仿宋_GB2312" w:cs="仿宋_GB2312"/>
          <w:sz w:val="32"/>
          <w:lang w:eastAsia="zh-CN"/>
        </w:rPr>
        <w:t>压缩一般性公务支出</w:t>
      </w:r>
      <w:r>
        <w:rPr>
          <w:rFonts w:hint="eastAsia" w:ascii="仿宋_GB2312" w:hAnsi="仿宋_GB2312" w:eastAsia="仿宋_GB2312" w:cs="仿宋_GB2312"/>
          <w:sz w:val="32"/>
        </w:rPr>
        <w:t>。</w:t>
      </w:r>
    </w:p>
    <w:p>
      <w:pPr>
        <w:widowControl w:val="0"/>
        <w:wordWrap/>
        <w:adjustRightInd/>
        <w:snapToGrid/>
        <w:spacing w:line="560" w:lineRule="exact"/>
        <w:ind w:firstLine="640" w:firstLineChars="200"/>
        <w:jc w:val="left"/>
        <w:textAlignment w:val="auto"/>
        <w:rPr>
          <w:rFonts w:hint="eastAsia" w:ascii="黑体" w:hAnsi="黑体" w:eastAsia="黑体" w:cs="黑体"/>
          <w:sz w:val="32"/>
        </w:rPr>
      </w:pPr>
      <w:r>
        <w:rPr>
          <w:rFonts w:hint="eastAsia" w:ascii="黑体" w:hAnsi="黑体" w:eastAsia="黑体" w:cs="黑体"/>
          <w:sz w:val="32"/>
        </w:rPr>
        <w:t>五、一般公共预算财政拨款支出决算情况说明</w:t>
      </w:r>
    </w:p>
    <w:p>
      <w:pPr>
        <w:widowControl w:val="0"/>
        <w:wordWrap/>
        <w:adjustRightInd/>
        <w:snapToGrid/>
        <w:spacing w:line="560" w:lineRule="exact"/>
        <w:ind w:firstLine="640"/>
        <w:jc w:val="left"/>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（一）总体情况。</w:t>
      </w:r>
    </w:p>
    <w:p>
      <w:pPr>
        <w:widowControl w:val="0"/>
        <w:wordWrap/>
        <w:adjustRightInd/>
        <w:snapToGrid/>
        <w:spacing w:line="560" w:lineRule="exact"/>
        <w:ind w:firstLine="640"/>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lang w:eastAsia="zh-CN"/>
        </w:rPr>
        <w:t>2019年度一般公共预算财政拨款支出121.26万元，占本年支出合计的96.2</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lang w:eastAsia="zh-CN"/>
        </w:rPr>
        <w:t>%。与上年度相比，一般公共预算财政拨款支出减少10.27万元，下降7.8</w:t>
      </w:r>
      <w:r>
        <w:rPr>
          <w:rFonts w:hint="eastAsia" w:ascii="仿宋_GB2312" w:hAnsi="仿宋_GB2312" w:eastAsia="仿宋_GB2312" w:cs="仿宋_GB2312"/>
          <w:sz w:val="32"/>
          <w:lang w:val="en-US" w:eastAsia="zh-CN"/>
        </w:rPr>
        <w:t>1</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主要原因是</w:t>
      </w:r>
      <w:r>
        <w:rPr>
          <w:rFonts w:hint="eastAsia" w:ascii="仿宋_GB2312" w:hAnsi="仿宋_GB2312" w:eastAsia="仿宋_GB2312" w:cs="仿宋_GB2312"/>
          <w:sz w:val="32"/>
          <w:lang w:eastAsia="zh-CN"/>
        </w:rPr>
        <w:t>压缩一般性公务支出</w:t>
      </w:r>
      <w:r>
        <w:rPr>
          <w:rFonts w:hint="eastAsia" w:ascii="仿宋_GB2312" w:hAnsi="仿宋_GB2312" w:eastAsia="仿宋_GB2312" w:cs="仿宋_GB2312"/>
          <w:sz w:val="32"/>
        </w:rPr>
        <w:t>。</w:t>
      </w:r>
    </w:p>
    <w:p>
      <w:pPr>
        <w:widowControl w:val="0"/>
        <w:wordWrap/>
        <w:adjustRightInd/>
        <w:snapToGrid/>
        <w:spacing w:line="560" w:lineRule="exact"/>
        <w:ind w:firstLine="640"/>
        <w:jc w:val="left"/>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（二）结构情况。</w:t>
      </w:r>
    </w:p>
    <w:p>
      <w:pPr>
        <w:widowControl w:val="0"/>
        <w:wordWrap/>
        <w:adjustRightInd/>
        <w:snapToGrid/>
        <w:spacing w:line="560" w:lineRule="exact"/>
        <w:ind w:firstLine="640"/>
        <w:jc w:val="left"/>
        <w:textAlignment w:val="auto"/>
        <w:rPr>
          <w:rFonts w:hint="eastAsia" w:ascii="仿宋_GB2312" w:hAnsi="仿宋_GB2312" w:eastAsia="仿宋_GB2312" w:cs="仿宋_GB2312"/>
          <w:sz w:val="32"/>
        </w:rPr>
      </w:pPr>
      <w:r>
        <w:rPr>
          <w:rFonts w:hint="eastAsia" w:ascii="仿宋_GB2312" w:hAnsi="仿宋_GB2312" w:eastAsia="仿宋_GB2312" w:cs="仿宋_GB2312"/>
          <w:sz w:val="32"/>
          <w:lang w:eastAsia="zh-CN"/>
        </w:rPr>
        <w:t>2019</w:t>
      </w:r>
      <w:r>
        <w:rPr>
          <w:rFonts w:hint="eastAsia" w:ascii="仿宋_GB2312" w:hAnsi="仿宋_GB2312" w:eastAsia="仿宋_GB2312" w:cs="仿宋_GB2312"/>
          <w:sz w:val="32"/>
        </w:rPr>
        <w:t>年度一般公共预算财政拨款支出</w:t>
      </w:r>
      <w:r>
        <w:rPr>
          <w:rFonts w:hint="eastAsia" w:ascii="仿宋_GB2312" w:hAnsi="仿宋_GB2312" w:eastAsia="仿宋_GB2312" w:cs="仿宋_GB2312"/>
          <w:sz w:val="32"/>
          <w:lang w:eastAsia="zh-CN"/>
        </w:rPr>
        <w:t>121.26</w:t>
      </w:r>
      <w:r>
        <w:rPr>
          <w:rFonts w:hint="eastAsia" w:ascii="仿宋_GB2312" w:hAnsi="仿宋_GB2312" w:eastAsia="仿宋_GB2312" w:cs="仿宋_GB2312"/>
          <w:sz w:val="32"/>
        </w:rPr>
        <w:t>万元，主要用于以下方面：一般公共服务（类）支出</w:t>
      </w:r>
      <w:r>
        <w:rPr>
          <w:rFonts w:hint="eastAsia" w:ascii="仿宋_GB2312" w:hAnsi="仿宋_GB2312" w:eastAsia="仿宋_GB2312" w:cs="仿宋_GB2312"/>
          <w:sz w:val="32"/>
          <w:lang w:val="en-US" w:eastAsia="zh-CN"/>
        </w:rPr>
        <w:t>97.35</w:t>
      </w:r>
      <w:r>
        <w:rPr>
          <w:rFonts w:hint="eastAsia" w:ascii="仿宋_GB2312" w:hAnsi="仿宋_GB2312" w:eastAsia="仿宋_GB2312" w:cs="仿宋_GB2312"/>
          <w:sz w:val="32"/>
        </w:rPr>
        <w:t>万元，占</w:t>
      </w:r>
      <w:r>
        <w:rPr>
          <w:rFonts w:hint="eastAsia" w:ascii="仿宋_GB2312" w:hAnsi="仿宋_GB2312" w:eastAsia="仿宋_GB2312" w:cs="仿宋_GB2312"/>
          <w:sz w:val="32"/>
          <w:lang w:val="en-US" w:eastAsia="zh-CN"/>
        </w:rPr>
        <w:t>80.28</w:t>
      </w:r>
      <w:r>
        <w:rPr>
          <w:rFonts w:hint="eastAsia" w:ascii="仿宋_GB2312" w:hAnsi="仿宋_GB2312" w:eastAsia="仿宋_GB2312" w:cs="仿宋_GB2312"/>
          <w:sz w:val="32"/>
        </w:rPr>
        <w:t>%；社会保障和就业（类）支出</w:t>
      </w:r>
      <w:r>
        <w:rPr>
          <w:rFonts w:hint="eastAsia" w:ascii="仿宋_GB2312" w:hAnsi="仿宋_GB2312" w:eastAsia="仿宋_GB2312" w:cs="仿宋_GB2312"/>
          <w:sz w:val="32"/>
          <w:lang w:val="en-US" w:eastAsia="zh-CN"/>
        </w:rPr>
        <w:t>14.46</w:t>
      </w:r>
      <w:r>
        <w:rPr>
          <w:rFonts w:hint="eastAsia" w:ascii="仿宋_GB2312" w:hAnsi="仿宋_GB2312" w:eastAsia="仿宋_GB2312" w:cs="仿宋_GB2312"/>
          <w:sz w:val="32"/>
        </w:rPr>
        <w:t>万元，占</w:t>
      </w:r>
      <w:r>
        <w:rPr>
          <w:rFonts w:hint="eastAsia" w:ascii="仿宋_GB2312" w:hAnsi="仿宋_GB2312" w:eastAsia="仿宋_GB2312" w:cs="仿宋_GB2312"/>
          <w:sz w:val="32"/>
          <w:lang w:val="en-US" w:eastAsia="zh-CN"/>
        </w:rPr>
        <w:t>11.92</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卫生健康</w:t>
      </w:r>
      <w:r>
        <w:rPr>
          <w:rFonts w:hint="eastAsia" w:ascii="仿宋_GB2312" w:hAnsi="仿宋_GB2312" w:eastAsia="仿宋_GB2312" w:cs="仿宋_GB2312"/>
          <w:sz w:val="32"/>
        </w:rPr>
        <w:t>（类）支出4.</w:t>
      </w:r>
      <w:r>
        <w:rPr>
          <w:rFonts w:hint="eastAsia" w:ascii="仿宋_GB2312" w:hAnsi="仿宋_GB2312" w:eastAsia="仿宋_GB2312" w:cs="仿宋_GB2312"/>
          <w:sz w:val="32"/>
          <w:lang w:val="en-US" w:eastAsia="zh-CN"/>
        </w:rPr>
        <w:t>73</w:t>
      </w:r>
      <w:r>
        <w:rPr>
          <w:rFonts w:hint="eastAsia" w:ascii="仿宋_GB2312" w:hAnsi="仿宋_GB2312" w:eastAsia="仿宋_GB2312" w:cs="仿宋_GB2312"/>
          <w:sz w:val="32"/>
        </w:rPr>
        <w:t>万元，占</w:t>
      </w:r>
      <w:r>
        <w:rPr>
          <w:rFonts w:hint="eastAsia" w:ascii="仿宋_GB2312" w:hAnsi="仿宋_GB2312" w:eastAsia="仿宋_GB2312" w:cs="仿宋_GB2312"/>
          <w:sz w:val="32"/>
          <w:lang w:val="en-US" w:eastAsia="zh-CN"/>
        </w:rPr>
        <w:t>3.9</w:t>
      </w:r>
      <w:r>
        <w:rPr>
          <w:rFonts w:hint="eastAsia" w:ascii="仿宋_GB2312" w:hAnsi="仿宋_GB2312" w:eastAsia="仿宋_GB2312" w:cs="仿宋_GB2312"/>
          <w:sz w:val="32"/>
        </w:rPr>
        <w:t>%；住房保障（类）支出4.</w:t>
      </w:r>
      <w:r>
        <w:rPr>
          <w:rFonts w:hint="eastAsia" w:ascii="仿宋_GB2312" w:hAnsi="仿宋_GB2312" w:eastAsia="仿宋_GB2312" w:cs="仿宋_GB2312"/>
          <w:sz w:val="32"/>
          <w:lang w:val="en-US" w:eastAsia="zh-CN"/>
        </w:rPr>
        <w:t>73</w:t>
      </w:r>
      <w:r>
        <w:rPr>
          <w:rFonts w:hint="eastAsia" w:ascii="仿宋_GB2312" w:hAnsi="仿宋_GB2312" w:eastAsia="仿宋_GB2312" w:cs="仿宋_GB2312"/>
          <w:sz w:val="32"/>
        </w:rPr>
        <w:t>万元，占</w:t>
      </w:r>
      <w:r>
        <w:rPr>
          <w:rFonts w:hint="eastAsia" w:ascii="仿宋_GB2312" w:hAnsi="仿宋_GB2312" w:eastAsia="仿宋_GB2312" w:cs="仿宋_GB2312"/>
          <w:sz w:val="32"/>
          <w:lang w:val="en-US" w:eastAsia="zh-CN"/>
        </w:rPr>
        <w:t>3.9</w:t>
      </w:r>
      <w:r>
        <w:rPr>
          <w:rFonts w:hint="eastAsia" w:ascii="仿宋_GB2312" w:hAnsi="仿宋_GB2312" w:eastAsia="仿宋_GB2312" w:cs="仿宋_GB2312"/>
          <w:sz w:val="32"/>
        </w:rPr>
        <w:t>%。</w:t>
      </w:r>
    </w:p>
    <w:p>
      <w:pPr>
        <w:widowControl w:val="0"/>
        <w:wordWrap/>
        <w:adjustRightInd/>
        <w:snapToGrid/>
        <w:spacing w:line="560" w:lineRule="exact"/>
        <w:ind w:firstLine="640"/>
        <w:jc w:val="left"/>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（三）具体情况。</w:t>
      </w:r>
    </w:p>
    <w:p>
      <w:pPr>
        <w:widowControl w:val="0"/>
        <w:wordWrap/>
        <w:adjustRightInd/>
        <w:snapToGrid/>
        <w:spacing w:line="560" w:lineRule="exact"/>
        <w:ind w:firstLine="640"/>
        <w:textAlignment w:val="auto"/>
        <w:rPr>
          <w:rFonts w:hint="eastAsia" w:ascii="仿宋_GB2312" w:hAnsi="仿宋_GB2312" w:eastAsia="仿宋_GB2312" w:cs="仿宋_GB2312"/>
          <w:sz w:val="32"/>
        </w:rPr>
      </w:pPr>
      <w:r>
        <w:rPr>
          <w:rFonts w:hint="eastAsia" w:ascii="仿宋_GB2312" w:hAnsi="仿宋_GB2312" w:eastAsia="仿宋_GB2312" w:cs="仿宋_GB2312"/>
          <w:sz w:val="32"/>
          <w:lang w:eastAsia="zh-CN"/>
        </w:rPr>
        <w:t>2019</w:t>
      </w:r>
      <w:r>
        <w:rPr>
          <w:rFonts w:hint="eastAsia" w:ascii="仿宋_GB2312" w:hAnsi="仿宋_GB2312" w:eastAsia="仿宋_GB2312" w:cs="仿宋_GB2312"/>
          <w:sz w:val="32"/>
        </w:rPr>
        <w:t>年度一般公共预算财政拨款支出年初预算为</w:t>
      </w:r>
      <w:r>
        <w:rPr>
          <w:rFonts w:hint="eastAsia" w:ascii="仿宋_GB2312" w:hAnsi="仿宋_GB2312" w:eastAsia="仿宋_GB2312" w:cs="仿宋_GB2312"/>
          <w:sz w:val="32"/>
          <w:lang w:val="en-US" w:eastAsia="zh-CN"/>
        </w:rPr>
        <w:t>79.97</w:t>
      </w:r>
      <w:r>
        <w:rPr>
          <w:rFonts w:hint="eastAsia" w:ascii="仿宋_GB2312" w:hAnsi="仿宋_GB2312" w:eastAsia="仿宋_GB2312" w:cs="仿宋_GB2312"/>
          <w:sz w:val="32"/>
        </w:rPr>
        <w:t>万元，支出决算为</w:t>
      </w:r>
      <w:r>
        <w:rPr>
          <w:rFonts w:hint="eastAsia" w:ascii="仿宋_GB2312" w:hAnsi="仿宋_GB2312" w:eastAsia="仿宋_GB2312" w:cs="仿宋_GB2312"/>
          <w:sz w:val="32"/>
          <w:lang w:val="en-US" w:eastAsia="zh-CN"/>
        </w:rPr>
        <w:t>121.26</w:t>
      </w:r>
      <w:r>
        <w:rPr>
          <w:rFonts w:hint="eastAsia" w:ascii="仿宋_GB2312" w:hAnsi="仿宋_GB2312" w:eastAsia="仿宋_GB2312" w:cs="仿宋_GB2312"/>
          <w:sz w:val="32"/>
        </w:rPr>
        <w:t>万元，完成年初预算的</w:t>
      </w:r>
      <w:r>
        <w:rPr>
          <w:rFonts w:hint="eastAsia" w:ascii="仿宋_GB2312" w:hAnsi="仿宋_GB2312" w:eastAsia="仿宋_GB2312" w:cs="仿宋_GB2312"/>
          <w:sz w:val="32"/>
          <w:lang w:val="en-US" w:eastAsia="zh-CN"/>
        </w:rPr>
        <w:t>151.64</w:t>
      </w:r>
      <w:r>
        <w:rPr>
          <w:rFonts w:hint="eastAsia" w:ascii="仿宋_GB2312" w:hAnsi="仿宋_GB2312" w:eastAsia="仿宋_GB2312" w:cs="仿宋_GB2312"/>
          <w:sz w:val="32"/>
        </w:rPr>
        <w:t>%。其中：</w:t>
      </w:r>
    </w:p>
    <w:p>
      <w:pPr>
        <w:widowControl w:val="0"/>
        <w:wordWrap/>
        <w:adjustRightInd/>
        <w:snapToGrid/>
        <w:spacing w:line="560" w:lineRule="exact"/>
        <w:ind w:firstLine="640"/>
        <w:textAlignment w:val="auto"/>
        <w:rPr>
          <w:rFonts w:hint="eastAsia" w:ascii="仿宋_GB2312" w:hAnsi="仿宋_GB2312" w:eastAsia="仿宋_GB2312" w:cs="仿宋_GB2312"/>
          <w:sz w:val="32"/>
        </w:rPr>
      </w:pPr>
      <w:r>
        <w:rPr>
          <w:rFonts w:hint="eastAsia" w:ascii="仿宋_GB2312" w:hAnsi="仿宋_GB2312" w:eastAsia="仿宋_GB2312" w:cs="仿宋_GB2312"/>
          <w:b/>
          <w:bCs/>
          <w:sz w:val="32"/>
        </w:rPr>
        <w:t>1．一般公共服务（类）统战事务（款）行政运行（项）。</w:t>
      </w:r>
      <w:r>
        <w:rPr>
          <w:rFonts w:hint="eastAsia" w:ascii="仿宋_GB2312" w:hAnsi="仿宋_GB2312" w:eastAsia="仿宋_GB2312" w:cs="仿宋_GB2312"/>
          <w:sz w:val="32"/>
        </w:rPr>
        <w:t>年初预算为</w:t>
      </w:r>
      <w:r>
        <w:rPr>
          <w:rFonts w:hint="eastAsia" w:ascii="仿宋_GB2312" w:hAnsi="仿宋_GB2312" w:eastAsia="仿宋_GB2312" w:cs="仿宋_GB2312"/>
          <w:sz w:val="32"/>
          <w:lang w:val="en-US" w:eastAsia="zh-CN"/>
        </w:rPr>
        <w:t>49.31</w:t>
      </w:r>
      <w:r>
        <w:rPr>
          <w:rFonts w:hint="eastAsia" w:ascii="仿宋_GB2312" w:hAnsi="仿宋_GB2312" w:eastAsia="仿宋_GB2312" w:cs="仿宋_GB2312"/>
          <w:sz w:val="32"/>
        </w:rPr>
        <w:t>万元，支出决算为</w:t>
      </w:r>
      <w:r>
        <w:rPr>
          <w:rFonts w:hint="eastAsia" w:ascii="仿宋_GB2312" w:hAnsi="仿宋_GB2312" w:eastAsia="仿宋_GB2312" w:cs="仿宋_GB2312"/>
          <w:sz w:val="32"/>
          <w:lang w:val="en-US" w:eastAsia="zh-CN"/>
        </w:rPr>
        <w:t>72.49</w:t>
      </w:r>
      <w:r>
        <w:rPr>
          <w:rFonts w:hint="eastAsia" w:ascii="仿宋_GB2312" w:hAnsi="仿宋_GB2312" w:eastAsia="仿宋_GB2312" w:cs="仿宋_GB2312"/>
          <w:sz w:val="32"/>
        </w:rPr>
        <w:t>万元，完成年初预算的</w:t>
      </w:r>
      <w:r>
        <w:rPr>
          <w:rFonts w:hint="eastAsia" w:ascii="仿宋_GB2312" w:hAnsi="仿宋_GB2312" w:eastAsia="仿宋_GB2312" w:cs="仿宋_GB2312"/>
          <w:sz w:val="32"/>
          <w:lang w:val="en-US" w:eastAsia="zh-CN"/>
        </w:rPr>
        <w:t>147</w:t>
      </w:r>
      <w:r>
        <w:rPr>
          <w:rFonts w:hint="eastAsia" w:ascii="仿宋_GB2312" w:hAnsi="仿宋_GB2312" w:eastAsia="仿宋_GB2312" w:cs="仿宋_GB2312"/>
          <w:sz w:val="32"/>
        </w:rPr>
        <w:t>%。</w:t>
      </w:r>
      <w:r>
        <w:rPr>
          <w:rFonts w:hint="eastAsia" w:ascii="仿宋_GB2312" w:hAnsi="仿宋_GB2312" w:eastAsia="仿宋_GB2312" w:cs="仿宋_GB2312"/>
          <w:kern w:val="0"/>
          <w:sz w:val="32"/>
          <w:szCs w:val="32"/>
          <w:lang w:val="zh-CN"/>
        </w:rPr>
        <w:t>决算数与年初预算数存在差异的主要原因是增加工资支出</w:t>
      </w:r>
      <w:r>
        <w:rPr>
          <w:rFonts w:hint="eastAsia" w:ascii="仿宋_GB2312" w:hAnsi="仿宋_GB2312" w:eastAsia="仿宋_GB2312" w:cs="仿宋_GB2312"/>
          <w:sz w:val="32"/>
        </w:rPr>
        <w:t>。</w:t>
      </w:r>
    </w:p>
    <w:p>
      <w:pPr>
        <w:widowControl w:val="0"/>
        <w:wordWrap/>
        <w:adjustRightInd/>
        <w:snapToGrid/>
        <w:spacing w:line="560" w:lineRule="exact"/>
        <w:ind w:firstLine="640"/>
        <w:textAlignment w:val="auto"/>
        <w:rPr>
          <w:rFonts w:hint="eastAsia" w:ascii="仿宋_GB2312" w:hAnsi="仿宋_GB2312" w:eastAsia="仿宋_GB2312" w:cs="仿宋_GB2312"/>
          <w:sz w:val="32"/>
        </w:rPr>
      </w:pPr>
      <w:r>
        <w:rPr>
          <w:rFonts w:hint="eastAsia" w:ascii="仿宋_GB2312" w:hAnsi="仿宋_GB2312" w:eastAsia="仿宋_GB2312" w:cs="仿宋_GB2312"/>
          <w:b/>
          <w:bCs/>
          <w:sz w:val="32"/>
          <w:lang w:val="en-US" w:eastAsia="zh-CN"/>
        </w:rPr>
        <w:t>2</w:t>
      </w:r>
      <w:r>
        <w:rPr>
          <w:rFonts w:hint="eastAsia" w:ascii="仿宋_GB2312" w:hAnsi="仿宋_GB2312" w:eastAsia="仿宋_GB2312" w:cs="仿宋_GB2312"/>
          <w:b/>
          <w:bCs/>
          <w:sz w:val="32"/>
        </w:rPr>
        <w:t>．一般公共服务（类）统战事务（款）一般行政管理事务（项）。</w:t>
      </w:r>
      <w:r>
        <w:rPr>
          <w:rFonts w:hint="eastAsia" w:ascii="仿宋_GB2312" w:hAnsi="仿宋_GB2312" w:eastAsia="仿宋_GB2312" w:cs="仿宋_GB2312"/>
          <w:sz w:val="32"/>
        </w:rPr>
        <w:t>年初预算为</w:t>
      </w:r>
      <w:r>
        <w:rPr>
          <w:rFonts w:hint="eastAsia" w:ascii="仿宋_GB2312" w:hAnsi="仿宋_GB2312" w:eastAsia="仿宋_GB2312" w:cs="仿宋_GB2312"/>
          <w:sz w:val="32"/>
          <w:lang w:val="en-US" w:eastAsia="zh-CN"/>
        </w:rPr>
        <w:t>10</w:t>
      </w:r>
      <w:r>
        <w:rPr>
          <w:rFonts w:hint="eastAsia" w:ascii="仿宋_GB2312" w:hAnsi="仿宋_GB2312" w:eastAsia="仿宋_GB2312" w:cs="仿宋_GB2312"/>
          <w:sz w:val="32"/>
        </w:rPr>
        <w:t>万元，支出决算为</w:t>
      </w:r>
      <w:r>
        <w:rPr>
          <w:rFonts w:hint="eastAsia" w:ascii="仿宋_GB2312" w:hAnsi="仿宋_GB2312" w:eastAsia="仿宋_GB2312" w:cs="仿宋_GB2312"/>
          <w:sz w:val="32"/>
          <w:lang w:val="en-US" w:eastAsia="zh-CN"/>
        </w:rPr>
        <w:t>24.86</w:t>
      </w:r>
      <w:r>
        <w:rPr>
          <w:rFonts w:hint="eastAsia" w:ascii="仿宋_GB2312" w:hAnsi="仿宋_GB2312" w:eastAsia="仿宋_GB2312" w:cs="仿宋_GB2312"/>
          <w:sz w:val="32"/>
        </w:rPr>
        <w:t>万元，完成年初预算的</w:t>
      </w:r>
      <w:r>
        <w:rPr>
          <w:rFonts w:hint="eastAsia" w:ascii="仿宋_GB2312" w:hAnsi="仿宋_GB2312" w:eastAsia="仿宋_GB2312" w:cs="仿宋_GB2312"/>
          <w:sz w:val="32"/>
          <w:lang w:val="en-US" w:eastAsia="zh-CN"/>
        </w:rPr>
        <w:t>248.6</w:t>
      </w:r>
      <w:r>
        <w:rPr>
          <w:rFonts w:hint="eastAsia" w:ascii="仿宋_GB2312" w:hAnsi="仿宋_GB2312" w:eastAsia="仿宋_GB2312" w:cs="仿宋_GB2312"/>
          <w:sz w:val="32"/>
        </w:rPr>
        <w:t>%。</w:t>
      </w:r>
      <w:r>
        <w:rPr>
          <w:rFonts w:hint="eastAsia" w:ascii="仿宋_GB2312" w:hAnsi="仿宋_GB2312" w:eastAsia="仿宋_GB2312" w:cs="仿宋_GB2312"/>
          <w:kern w:val="0"/>
          <w:sz w:val="32"/>
          <w:szCs w:val="32"/>
          <w:lang w:val="zh-CN"/>
        </w:rPr>
        <w:t>决算数与年初预算数存在差异的主要原因增加专项工作经费</w:t>
      </w:r>
      <w:r>
        <w:rPr>
          <w:rFonts w:hint="eastAsia" w:ascii="仿宋_GB2312" w:hAnsi="仿宋_GB2312" w:eastAsia="仿宋_GB2312" w:cs="仿宋_GB2312"/>
          <w:sz w:val="32"/>
        </w:rPr>
        <w:t>。</w:t>
      </w:r>
    </w:p>
    <w:p>
      <w:pPr>
        <w:ind w:firstLine="643" w:firstLineChars="200"/>
        <w:jc w:val="lef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3．社会保障和就业支出（类）行政事业单位离退休（款）归口管理的行政单位离退休（项）。</w:t>
      </w:r>
      <w:r>
        <w:rPr>
          <w:rFonts w:hint="eastAsia" w:ascii="仿宋_GB2312" w:hAnsi="仿宋_GB2312" w:eastAsia="仿宋_GB2312" w:cs="仿宋_GB2312"/>
          <w:color w:val="auto"/>
          <w:sz w:val="32"/>
          <w:szCs w:val="32"/>
          <w:highlight w:val="none"/>
          <w:lang w:val="en-US" w:eastAsia="zh-CN"/>
        </w:rPr>
        <w:t>年初预算为0万元，支出决算为2.66万元。决算数与年初预算数存在差异的主要原因是预算科目调剂。</w:t>
      </w:r>
    </w:p>
    <w:p>
      <w:pPr>
        <w:widowControl/>
        <w:wordWrap/>
        <w:adjustRightInd/>
        <w:snapToGrid/>
        <w:spacing w:line="590" w:lineRule="exact"/>
        <w:ind w:left="0" w:leftChars="0" w:right="0" w:firstLine="643"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4．社会保障和就业支出（类）行政事业单位离退休（款）机关事业单位基本养老保险缴费支出（项）。</w:t>
      </w:r>
      <w:r>
        <w:rPr>
          <w:rFonts w:hint="eastAsia" w:ascii="仿宋_GB2312" w:hAnsi="仿宋_GB2312" w:eastAsia="仿宋_GB2312" w:cs="仿宋_GB2312"/>
          <w:color w:val="auto"/>
          <w:sz w:val="32"/>
          <w:szCs w:val="32"/>
          <w:highlight w:val="none"/>
          <w:lang w:val="en-US" w:eastAsia="zh-CN"/>
        </w:rPr>
        <w:t>年初预算为7.88万元，支出决算为7.88万元，完成年初预算的100%。决算数与年初预算数一致。</w:t>
      </w:r>
    </w:p>
    <w:p>
      <w:pPr>
        <w:ind w:firstLine="643" w:firstLineChars="200"/>
        <w:jc w:val="lef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5．社会保障和就业支出（类）行政事业单位离退休（款）机关事业单位职业年金缴费支出（项）。</w:t>
      </w:r>
      <w:r>
        <w:rPr>
          <w:rFonts w:hint="eastAsia" w:ascii="仿宋_GB2312" w:hAnsi="仿宋_GB2312" w:eastAsia="仿宋_GB2312" w:cs="仿宋_GB2312"/>
          <w:color w:val="auto"/>
          <w:sz w:val="32"/>
          <w:szCs w:val="32"/>
          <w:highlight w:val="none"/>
          <w:lang w:val="en-US" w:eastAsia="zh-CN"/>
        </w:rPr>
        <w:t>年初预算为3.32万元，支出决算为3.92万元，完成年初预算的118.07%。决算数与年初预算数存在差异的主要原因是预算科目调剂。</w:t>
      </w:r>
    </w:p>
    <w:p>
      <w:pPr>
        <w:widowControl/>
        <w:wordWrap/>
        <w:adjustRightInd/>
        <w:snapToGrid/>
        <w:spacing w:line="590" w:lineRule="exact"/>
        <w:ind w:left="0" w:leftChars="0" w:right="0" w:firstLine="643"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6．卫生健康支出（类）行政事业单位医疗（款）行政单位医疗（项）。</w:t>
      </w:r>
      <w:r>
        <w:rPr>
          <w:rFonts w:hint="eastAsia" w:ascii="仿宋_GB2312" w:hAnsi="仿宋_GB2312" w:eastAsia="仿宋_GB2312" w:cs="仿宋_GB2312"/>
          <w:color w:val="auto"/>
          <w:sz w:val="32"/>
          <w:szCs w:val="32"/>
          <w:highlight w:val="none"/>
          <w:lang w:val="en-US" w:eastAsia="zh-CN"/>
        </w:rPr>
        <w:t>年初预算为4.73万元，支出决算为4.73万元，完成年初预算的100%。决算数与年初预算数一致。</w:t>
      </w:r>
    </w:p>
    <w:p>
      <w:pPr>
        <w:widowControl/>
        <w:wordWrap/>
        <w:adjustRightInd/>
        <w:snapToGrid/>
        <w:spacing w:line="590" w:lineRule="exact"/>
        <w:ind w:left="0" w:leftChars="0" w:right="0" w:firstLine="643"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7．住房保障支出（类）住房改革支出（款）住房公积金（项）。</w:t>
      </w:r>
      <w:r>
        <w:rPr>
          <w:rFonts w:hint="eastAsia" w:ascii="仿宋_GB2312" w:hAnsi="仿宋_GB2312" w:eastAsia="仿宋_GB2312" w:cs="仿宋_GB2312"/>
          <w:color w:val="auto"/>
          <w:sz w:val="32"/>
          <w:szCs w:val="32"/>
          <w:highlight w:val="none"/>
          <w:lang w:val="en-US" w:eastAsia="zh-CN"/>
        </w:rPr>
        <w:t>年初预算为4.73万元，支出决算为4.73万元，完成年初预算的100%。决算数与年初预算数一致。</w:t>
      </w:r>
    </w:p>
    <w:p>
      <w:pPr>
        <w:widowControl w:val="0"/>
        <w:wordWrap/>
        <w:adjustRightInd/>
        <w:snapToGrid/>
        <w:spacing w:line="560" w:lineRule="exact"/>
        <w:ind w:firstLine="640" w:firstLineChars="200"/>
        <w:jc w:val="left"/>
        <w:textAlignment w:val="auto"/>
        <w:rPr>
          <w:rFonts w:hint="eastAsia" w:ascii="黑体" w:hAnsi="黑体" w:eastAsia="黑体" w:cs="黑体"/>
          <w:sz w:val="32"/>
        </w:rPr>
      </w:pPr>
      <w:r>
        <w:rPr>
          <w:rFonts w:hint="eastAsia" w:ascii="黑体" w:hAnsi="黑体" w:eastAsia="黑体" w:cs="黑体"/>
          <w:sz w:val="32"/>
        </w:rPr>
        <w:t>六、一般公共预算财政拨款基本支出决算情况说明</w:t>
      </w:r>
    </w:p>
    <w:p>
      <w:pPr>
        <w:widowControl w:val="0"/>
        <w:wordWrap/>
        <w:adjustRightInd/>
        <w:snapToGrid/>
        <w:spacing w:line="560" w:lineRule="exact"/>
        <w:ind w:firstLine="64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lang w:eastAsia="zh-CN"/>
        </w:rPr>
        <w:t>2019</w:t>
      </w:r>
      <w:r>
        <w:rPr>
          <w:rFonts w:hint="eastAsia" w:ascii="仿宋_GB2312" w:hAnsi="仿宋_GB2312" w:eastAsia="仿宋_GB2312" w:cs="仿宋_GB2312"/>
          <w:sz w:val="32"/>
        </w:rPr>
        <w:t>年一般公共预算财政拨款基本支出</w:t>
      </w:r>
      <w:r>
        <w:rPr>
          <w:rFonts w:hint="eastAsia" w:ascii="仿宋_GB2312" w:hAnsi="仿宋_GB2312" w:eastAsia="仿宋_GB2312" w:cs="仿宋_GB2312"/>
          <w:sz w:val="32"/>
          <w:lang w:val="en-US" w:eastAsia="zh-CN"/>
        </w:rPr>
        <w:t>96.4</w:t>
      </w:r>
      <w:r>
        <w:rPr>
          <w:rFonts w:hint="eastAsia" w:ascii="仿宋_GB2312" w:hAnsi="仿宋_GB2312" w:eastAsia="仿宋_GB2312" w:cs="仿宋_GB2312"/>
          <w:sz w:val="32"/>
        </w:rPr>
        <w:t>万元。其中：人员经费</w:t>
      </w:r>
      <w:r>
        <w:rPr>
          <w:rFonts w:hint="eastAsia" w:ascii="仿宋_GB2312" w:hAnsi="仿宋_GB2312" w:eastAsia="仿宋_GB2312" w:cs="仿宋_GB2312"/>
          <w:sz w:val="32"/>
          <w:lang w:val="en-US" w:eastAsia="zh-CN"/>
        </w:rPr>
        <w:t>94.56</w:t>
      </w:r>
      <w:r>
        <w:rPr>
          <w:rFonts w:hint="eastAsia" w:ascii="仿宋_GB2312" w:hAnsi="仿宋_GB2312" w:eastAsia="仿宋_GB2312" w:cs="仿宋_GB2312"/>
          <w:sz w:val="32"/>
        </w:rPr>
        <w:t>万元，主要包括：</w:t>
      </w:r>
      <w:r>
        <w:rPr>
          <w:rFonts w:hint="eastAsia" w:ascii="仿宋_GB2312" w:hAnsi="仿宋_GB2312" w:eastAsia="仿宋_GB2312" w:cs="仿宋_GB2312"/>
          <w:color w:val="auto"/>
          <w:sz w:val="32"/>
          <w:szCs w:val="32"/>
          <w:highlight w:val="none"/>
          <w:lang w:val="en-US" w:eastAsia="zh-CN"/>
        </w:rPr>
        <w:t>基本工资、津贴补贴、奖金、机关事业单位基本养老保险缴费、职业年金缴费、职工基本医疗保险缴费、其他社会保障缴费、住房公积金、救济费；公用经费1.84万元，主要包括：办公费、邮电费、差旅费、会议费、培训费、福利费、其他交通费用。</w:t>
      </w:r>
    </w:p>
    <w:p>
      <w:pPr>
        <w:widowControl w:val="0"/>
        <w:wordWrap/>
        <w:adjustRightInd/>
        <w:snapToGrid/>
        <w:spacing w:line="560" w:lineRule="exact"/>
        <w:ind w:firstLine="640"/>
        <w:jc w:val="left"/>
        <w:textAlignment w:val="auto"/>
        <w:rPr>
          <w:rFonts w:hint="eastAsia" w:ascii="黑体" w:hAnsi="黑体" w:eastAsia="黑体" w:cs="黑体"/>
          <w:sz w:val="32"/>
        </w:rPr>
      </w:pPr>
      <w:r>
        <w:rPr>
          <w:rFonts w:hint="eastAsia" w:ascii="黑体" w:hAnsi="黑体" w:eastAsia="黑体" w:cs="黑体"/>
          <w:sz w:val="32"/>
        </w:rPr>
        <w:t>七、一般公共预算财政拨款“三公”经费支出决算情况说明</w:t>
      </w:r>
    </w:p>
    <w:p>
      <w:pPr>
        <w:widowControl w:val="0"/>
        <w:wordWrap/>
        <w:adjustRightInd/>
        <w:snapToGrid/>
        <w:spacing w:line="560" w:lineRule="exact"/>
        <w:ind w:firstLine="640"/>
        <w:jc w:val="left"/>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（一）“三公”经费财政拨款支出决算总体情况说明。</w:t>
      </w:r>
    </w:p>
    <w:p>
      <w:pPr>
        <w:widowControl w:val="0"/>
        <w:wordWrap/>
        <w:adjustRightInd/>
        <w:snapToGrid/>
        <w:spacing w:line="560" w:lineRule="exact"/>
        <w:ind w:firstLine="640"/>
        <w:textAlignment w:val="auto"/>
        <w:rPr>
          <w:rFonts w:hint="eastAsia" w:ascii="仿宋_GB2312" w:hAnsi="仿宋_GB2312" w:eastAsia="仿宋_GB2312" w:cs="仿宋_GB2312"/>
          <w:sz w:val="32"/>
        </w:rPr>
      </w:pPr>
      <w:r>
        <w:rPr>
          <w:rFonts w:hint="eastAsia" w:ascii="仿宋_GB2312" w:hAnsi="仿宋_GB2312" w:eastAsia="仿宋_GB2312" w:cs="仿宋_GB2312"/>
          <w:sz w:val="32"/>
          <w:lang w:eastAsia="zh-CN"/>
        </w:rPr>
        <w:t>2019</w:t>
      </w:r>
      <w:r>
        <w:rPr>
          <w:rFonts w:hint="eastAsia" w:ascii="仿宋_GB2312" w:hAnsi="仿宋_GB2312" w:eastAsia="仿宋_GB2312" w:cs="仿宋_GB2312"/>
          <w:sz w:val="32"/>
        </w:rPr>
        <w:t>年度“三公”经费财政拨款支出预算为</w:t>
      </w: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rPr>
        <w:t>万元，支出决算为</w:t>
      </w:r>
      <w:r>
        <w:rPr>
          <w:rFonts w:hint="eastAsia" w:ascii="仿宋_GB2312" w:hAnsi="仿宋_GB2312" w:eastAsia="仿宋_GB2312" w:cs="仿宋_GB2312"/>
          <w:sz w:val="32"/>
          <w:lang w:val="en-US" w:eastAsia="zh-CN"/>
        </w:rPr>
        <w:t>2.61</w:t>
      </w:r>
      <w:r>
        <w:rPr>
          <w:rFonts w:hint="eastAsia" w:ascii="仿宋_GB2312" w:hAnsi="仿宋_GB2312" w:eastAsia="仿宋_GB2312" w:cs="仿宋_GB2312"/>
          <w:sz w:val="32"/>
        </w:rPr>
        <w:t>万元，完成预算的</w:t>
      </w:r>
      <w:r>
        <w:rPr>
          <w:rFonts w:hint="eastAsia" w:ascii="仿宋_GB2312" w:hAnsi="仿宋_GB2312" w:eastAsia="仿宋_GB2312" w:cs="仿宋_GB2312"/>
          <w:sz w:val="32"/>
          <w:lang w:val="en-US" w:eastAsia="zh-CN"/>
        </w:rPr>
        <w:t>37.29</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2019</w:t>
      </w:r>
      <w:r>
        <w:rPr>
          <w:rFonts w:hint="eastAsia" w:ascii="仿宋_GB2312" w:hAnsi="仿宋_GB2312" w:eastAsia="仿宋_GB2312" w:cs="仿宋_GB2312"/>
          <w:sz w:val="32"/>
        </w:rPr>
        <w:t>年度“三公”经费支出决算数与预算数存在差异的主要原因是：我单位贯彻落实八项规定，严控三公经费支出，消减三公经费支出范围，厉行节约。</w:t>
      </w:r>
    </w:p>
    <w:p>
      <w:pPr>
        <w:widowControl w:val="0"/>
        <w:wordWrap/>
        <w:adjustRightInd/>
        <w:snapToGrid/>
        <w:spacing w:line="560" w:lineRule="exact"/>
        <w:ind w:firstLine="64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（二）“三公”经费财政拨款支出决算具体情况说明。</w:t>
      </w:r>
    </w:p>
    <w:p>
      <w:pPr>
        <w:widowControl w:val="0"/>
        <w:wordWrap/>
        <w:adjustRightInd/>
        <w:snapToGrid/>
        <w:spacing w:line="560" w:lineRule="exact"/>
        <w:ind w:firstLine="640"/>
        <w:textAlignment w:val="auto"/>
        <w:rPr>
          <w:rFonts w:hint="eastAsia" w:ascii="仿宋_GB2312" w:hAnsi="仿宋_GB2312" w:eastAsia="仿宋_GB2312" w:cs="仿宋_GB2312"/>
          <w:sz w:val="32"/>
        </w:rPr>
      </w:pPr>
      <w:r>
        <w:rPr>
          <w:rFonts w:hint="eastAsia" w:ascii="仿宋_GB2312" w:hAnsi="仿宋_GB2312" w:eastAsia="仿宋_GB2312" w:cs="仿宋_GB2312"/>
          <w:sz w:val="32"/>
          <w:lang w:eastAsia="zh-CN"/>
        </w:rPr>
        <w:t>2019</w:t>
      </w:r>
      <w:r>
        <w:rPr>
          <w:rFonts w:hint="eastAsia" w:ascii="仿宋_GB2312" w:hAnsi="仿宋_GB2312" w:eastAsia="仿宋_GB2312" w:cs="仿宋_GB2312"/>
          <w:sz w:val="32"/>
        </w:rPr>
        <w:t>年度“三公”经费财政拨款支出决算中，因公出国（境）费支出决算0万元，占0%，完成预算的0%；公务用车购置及运行费支出决算1.3</w:t>
      </w:r>
      <w:r>
        <w:rPr>
          <w:rFonts w:hint="eastAsia" w:ascii="仿宋_GB2312" w:hAnsi="仿宋_GB2312" w:eastAsia="仿宋_GB2312" w:cs="仿宋_GB2312"/>
          <w:sz w:val="32"/>
          <w:lang w:val="en-US" w:eastAsia="zh-CN"/>
        </w:rPr>
        <w:t>2</w:t>
      </w:r>
      <w:r>
        <w:rPr>
          <w:rFonts w:hint="eastAsia" w:ascii="仿宋_GB2312" w:hAnsi="仿宋_GB2312" w:eastAsia="仿宋_GB2312" w:cs="仿宋_GB2312"/>
          <w:sz w:val="32"/>
        </w:rPr>
        <w:t>万元，占</w:t>
      </w:r>
      <w:r>
        <w:rPr>
          <w:rFonts w:hint="eastAsia" w:ascii="仿宋_GB2312" w:hAnsi="仿宋_GB2312" w:eastAsia="仿宋_GB2312" w:cs="仿宋_GB2312"/>
          <w:sz w:val="32"/>
          <w:lang w:val="en-US" w:eastAsia="zh-CN"/>
        </w:rPr>
        <w:t>50.57</w:t>
      </w:r>
      <w:r>
        <w:rPr>
          <w:rFonts w:hint="eastAsia" w:ascii="仿宋_GB2312" w:hAnsi="仿宋_GB2312" w:eastAsia="仿宋_GB2312" w:cs="仿宋_GB2312"/>
          <w:sz w:val="32"/>
        </w:rPr>
        <w:t>%，完成预算的</w:t>
      </w:r>
      <w:r>
        <w:rPr>
          <w:rFonts w:hint="eastAsia" w:ascii="仿宋_GB2312" w:hAnsi="仿宋_GB2312" w:eastAsia="仿宋_GB2312" w:cs="仿宋_GB2312"/>
          <w:sz w:val="32"/>
          <w:lang w:val="en-US" w:eastAsia="zh-CN"/>
        </w:rPr>
        <w:t>26.4</w:t>
      </w:r>
      <w:r>
        <w:rPr>
          <w:rFonts w:hint="eastAsia" w:ascii="仿宋_GB2312" w:hAnsi="仿宋_GB2312" w:eastAsia="仿宋_GB2312" w:cs="仿宋_GB2312"/>
          <w:sz w:val="32"/>
        </w:rPr>
        <w:t>%；公务接待费支出决算1</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万元，占</w:t>
      </w:r>
      <w:r>
        <w:rPr>
          <w:rFonts w:hint="eastAsia" w:ascii="仿宋_GB2312" w:hAnsi="仿宋_GB2312" w:eastAsia="仿宋_GB2312" w:cs="仿宋_GB2312"/>
          <w:sz w:val="32"/>
          <w:lang w:val="en-US" w:eastAsia="zh-CN"/>
        </w:rPr>
        <w:t>49.43</w:t>
      </w:r>
      <w:r>
        <w:rPr>
          <w:rFonts w:hint="eastAsia" w:ascii="仿宋_GB2312" w:hAnsi="仿宋_GB2312" w:eastAsia="仿宋_GB2312" w:cs="仿宋_GB2312"/>
          <w:sz w:val="32"/>
        </w:rPr>
        <w:t>%，完成预算的</w:t>
      </w:r>
      <w:r>
        <w:rPr>
          <w:rFonts w:hint="eastAsia" w:ascii="仿宋_GB2312" w:hAnsi="仿宋_GB2312" w:eastAsia="仿宋_GB2312" w:cs="仿宋_GB2312"/>
          <w:sz w:val="32"/>
          <w:lang w:val="en-US" w:eastAsia="zh-CN"/>
        </w:rPr>
        <w:t>65</w:t>
      </w:r>
      <w:r>
        <w:rPr>
          <w:rFonts w:hint="eastAsia" w:ascii="仿宋_GB2312" w:hAnsi="仿宋_GB2312" w:eastAsia="仿宋_GB2312" w:cs="仿宋_GB2312"/>
          <w:sz w:val="32"/>
        </w:rPr>
        <w:t>%。具体情况如下：</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1．因公出国（境）费年初预算为0万元，支出决算为0万元。</w:t>
      </w:r>
    </w:p>
    <w:p>
      <w:pPr>
        <w:widowControl w:val="0"/>
        <w:wordWrap/>
        <w:adjustRightInd/>
        <w:snapToGrid/>
        <w:spacing w:line="560" w:lineRule="exact"/>
        <w:ind w:firstLine="640"/>
        <w:jc w:val="left"/>
        <w:textAlignment w:val="auto"/>
        <w:rPr>
          <w:rFonts w:hint="eastAsia" w:ascii="仿宋_GB2312" w:hAnsi="仿宋_GB2312" w:eastAsia="仿宋_GB2312" w:cs="仿宋_GB2312"/>
          <w:sz w:val="32"/>
        </w:rPr>
      </w:pPr>
      <w:r>
        <w:rPr>
          <w:rFonts w:hint="eastAsia" w:ascii="仿宋_GB2312" w:hAnsi="仿宋_GB2312" w:eastAsia="仿宋_GB2312" w:cs="仿宋_GB2312"/>
          <w:sz w:val="32"/>
          <w:lang w:val="en-US" w:eastAsia="zh-CN"/>
        </w:rPr>
        <w:t>2</w:t>
      </w:r>
      <w:r>
        <w:rPr>
          <w:rFonts w:hint="eastAsia" w:ascii="仿宋_GB2312" w:hAnsi="仿宋_GB2312" w:eastAsia="仿宋_GB2312" w:cs="仿宋_GB2312"/>
          <w:sz w:val="32"/>
        </w:rPr>
        <w:t>．公务用车购置及运行费</w:t>
      </w:r>
      <w:r>
        <w:rPr>
          <w:rFonts w:hint="eastAsia" w:ascii="仿宋_GB2312" w:hAnsi="仿宋_GB2312" w:eastAsia="仿宋_GB2312" w:cs="仿宋_GB2312"/>
          <w:sz w:val="32"/>
          <w:lang w:eastAsia="zh-CN"/>
        </w:rPr>
        <w:t>预算为</w:t>
      </w:r>
      <w:r>
        <w:rPr>
          <w:rFonts w:hint="eastAsia" w:ascii="仿宋_GB2312" w:hAnsi="仿宋_GB2312" w:eastAsia="仿宋_GB2312" w:cs="仿宋_GB2312"/>
          <w:sz w:val="32"/>
          <w:lang w:val="en-US" w:eastAsia="zh-CN"/>
        </w:rPr>
        <w:t>5万元，</w:t>
      </w:r>
      <w:r>
        <w:rPr>
          <w:rFonts w:hint="eastAsia" w:ascii="仿宋_GB2312" w:hAnsi="仿宋_GB2312" w:eastAsia="仿宋_GB2312" w:cs="仿宋_GB2312"/>
          <w:sz w:val="32"/>
        </w:rPr>
        <w:t>支出</w:t>
      </w:r>
      <w:r>
        <w:rPr>
          <w:rFonts w:hint="eastAsia" w:ascii="仿宋_GB2312" w:hAnsi="仿宋_GB2312" w:eastAsia="仿宋_GB2312" w:cs="仿宋_GB2312"/>
          <w:sz w:val="32"/>
          <w:lang w:eastAsia="zh-CN"/>
        </w:rPr>
        <w:t>决算为</w:t>
      </w:r>
      <w:r>
        <w:rPr>
          <w:rFonts w:hint="eastAsia" w:ascii="仿宋_GB2312" w:hAnsi="仿宋_GB2312" w:eastAsia="仿宋_GB2312" w:cs="仿宋_GB2312"/>
          <w:sz w:val="32"/>
        </w:rPr>
        <w:t>1.3</w:t>
      </w:r>
      <w:r>
        <w:rPr>
          <w:rFonts w:hint="eastAsia" w:ascii="仿宋_GB2312" w:hAnsi="仿宋_GB2312" w:eastAsia="仿宋_GB2312" w:cs="仿宋_GB2312"/>
          <w:sz w:val="32"/>
          <w:lang w:val="en-US" w:eastAsia="zh-CN"/>
        </w:rPr>
        <w:t>2</w:t>
      </w:r>
      <w:r>
        <w:rPr>
          <w:rFonts w:hint="eastAsia" w:ascii="仿宋_GB2312" w:hAnsi="仿宋_GB2312" w:eastAsia="仿宋_GB2312" w:cs="仿宋_GB2312"/>
          <w:sz w:val="32"/>
        </w:rPr>
        <w:t>万元</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完成预算的</w:t>
      </w:r>
      <w:r>
        <w:rPr>
          <w:rFonts w:hint="eastAsia" w:ascii="仿宋_GB2312" w:hAnsi="仿宋_GB2312" w:eastAsia="仿宋_GB2312" w:cs="仿宋_GB2312"/>
          <w:sz w:val="32"/>
          <w:lang w:val="en-US" w:eastAsia="zh-CN"/>
        </w:rPr>
        <w:t>26.4</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决算数与预算数存在差异的主要原因是公务出行减少，公务用车维修、燃油费用减少。其中：</w:t>
      </w:r>
    </w:p>
    <w:p>
      <w:pPr>
        <w:widowControl w:val="0"/>
        <w:wordWrap/>
        <w:adjustRightInd/>
        <w:snapToGrid/>
        <w:spacing w:line="560" w:lineRule="exact"/>
        <w:ind w:firstLine="640"/>
        <w:jc w:val="left"/>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公务用车运行支出1.3</w:t>
      </w:r>
      <w:r>
        <w:rPr>
          <w:rFonts w:hint="eastAsia" w:ascii="仿宋_GB2312" w:hAnsi="仿宋_GB2312" w:eastAsia="仿宋_GB2312" w:cs="仿宋_GB2312"/>
          <w:sz w:val="32"/>
          <w:lang w:val="en-US" w:eastAsia="zh-CN"/>
        </w:rPr>
        <w:t>2</w:t>
      </w:r>
      <w:r>
        <w:rPr>
          <w:rFonts w:hint="eastAsia" w:ascii="仿宋_GB2312" w:hAnsi="仿宋_GB2312" w:eastAsia="仿宋_GB2312" w:cs="仿宋_GB2312"/>
          <w:sz w:val="32"/>
        </w:rPr>
        <w:t>万元。主要用于开展工作所需公务用车的燃料费、维修费、过路过桥费、保险费等支出。</w:t>
      </w:r>
      <w:r>
        <w:rPr>
          <w:rFonts w:hint="eastAsia" w:ascii="仿宋_GB2312" w:hAnsi="仿宋_GB2312" w:eastAsia="仿宋_GB2312" w:cs="仿宋_GB2312"/>
          <w:sz w:val="32"/>
          <w:lang w:eastAsia="zh-CN"/>
        </w:rPr>
        <w:t>2019</w:t>
      </w:r>
      <w:r>
        <w:rPr>
          <w:rFonts w:hint="eastAsia" w:ascii="仿宋_GB2312" w:hAnsi="仿宋_GB2312" w:eastAsia="仿宋_GB2312" w:cs="仿宋_GB2312"/>
          <w:sz w:val="32"/>
        </w:rPr>
        <w:t>年期末，部门财政拨款公务用车保有量为1辆。</w:t>
      </w:r>
    </w:p>
    <w:p>
      <w:pPr>
        <w:widowControl w:val="0"/>
        <w:wordWrap/>
        <w:adjustRightInd/>
        <w:snapToGrid/>
        <w:spacing w:line="560" w:lineRule="exact"/>
        <w:ind w:firstLine="640"/>
        <w:jc w:val="left"/>
        <w:textAlignment w:val="auto"/>
        <w:rPr>
          <w:rFonts w:hint="eastAsia" w:ascii="仿宋_GB2312" w:hAnsi="仿宋_GB2312" w:eastAsia="仿宋_GB2312" w:cs="仿宋_GB2312"/>
          <w:sz w:val="32"/>
        </w:rPr>
      </w:pP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．公务接待费</w:t>
      </w:r>
      <w:r>
        <w:rPr>
          <w:rFonts w:hint="eastAsia" w:ascii="仿宋_GB2312" w:hAnsi="仿宋_GB2312" w:eastAsia="仿宋_GB2312" w:cs="仿宋_GB2312"/>
          <w:sz w:val="32"/>
          <w:lang w:eastAsia="zh-CN"/>
        </w:rPr>
        <w:t>预算为</w:t>
      </w:r>
      <w:r>
        <w:rPr>
          <w:rFonts w:hint="eastAsia" w:ascii="仿宋_GB2312" w:hAnsi="仿宋_GB2312" w:eastAsia="仿宋_GB2312" w:cs="仿宋_GB2312"/>
          <w:sz w:val="32"/>
          <w:lang w:val="en-US" w:eastAsia="zh-CN"/>
        </w:rPr>
        <w:t>2万元，</w:t>
      </w:r>
      <w:r>
        <w:rPr>
          <w:rFonts w:hint="eastAsia" w:ascii="仿宋_GB2312" w:hAnsi="仿宋_GB2312" w:eastAsia="仿宋_GB2312" w:cs="仿宋_GB2312"/>
          <w:sz w:val="32"/>
        </w:rPr>
        <w:t>支出</w:t>
      </w:r>
      <w:r>
        <w:rPr>
          <w:rFonts w:hint="eastAsia" w:ascii="仿宋_GB2312" w:hAnsi="仿宋_GB2312" w:eastAsia="仿宋_GB2312" w:cs="仿宋_GB2312"/>
          <w:sz w:val="32"/>
          <w:lang w:eastAsia="zh-CN"/>
        </w:rPr>
        <w:t>决算为</w:t>
      </w:r>
      <w:r>
        <w:rPr>
          <w:rFonts w:hint="eastAsia" w:ascii="仿宋_GB2312" w:hAnsi="仿宋_GB2312" w:eastAsia="仿宋_GB2312" w:cs="仿宋_GB2312"/>
          <w:sz w:val="32"/>
        </w:rPr>
        <w:t>1.</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万元</w:t>
      </w:r>
      <w:r>
        <w:rPr>
          <w:rFonts w:hint="eastAsia" w:ascii="仿宋_GB2312" w:hAnsi="仿宋_GB2312" w:eastAsia="仿宋_GB2312" w:cs="仿宋_GB2312"/>
          <w:sz w:val="32"/>
          <w:lang w:eastAsia="zh-CN"/>
        </w:rPr>
        <w:t>，完成预算的</w:t>
      </w:r>
      <w:r>
        <w:rPr>
          <w:rFonts w:hint="eastAsia" w:ascii="仿宋_GB2312" w:hAnsi="仿宋_GB2312" w:eastAsia="仿宋_GB2312" w:cs="仿宋_GB2312"/>
          <w:sz w:val="32"/>
          <w:lang w:val="en-US" w:eastAsia="zh-CN"/>
        </w:rPr>
        <w:t>65%</w:t>
      </w:r>
      <w:r>
        <w:rPr>
          <w:rFonts w:hint="eastAsia" w:ascii="仿宋_GB2312" w:hAnsi="仿宋_GB2312" w:eastAsia="仿宋_GB2312" w:cs="仿宋_GB2312"/>
          <w:sz w:val="32"/>
        </w:rPr>
        <w:t>。决算数与预算数存在差异的主要原因是贯彻落实八项规定，严控三公经费支出</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其中：</w:t>
      </w:r>
    </w:p>
    <w:p>
      <w:pPr>
        <w:widowControl w:val="0"/>
        <w:wordWrap/>
        <w:adjustRightInd/>
        <w:snapToGrid/>
        <w:spacing w:line="560" w:lineRule="exact"/>
        <w:ind w:firstLine="640"/>
        <w:jc w:val="left"/>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其他国内公务接待支出1.</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万元，主要用于按规定开支的各类公务接待。</w:t>
      </w:r>
      <w:r>
        <w:rPr>
          <w:rFonts w:hint="eastAsia" w:ascii="仿宋_GB2312" w:hAnsi="仿宋_GB2312" w:eastAsia="仿宋_GB2312" w:cs="仿宋_GB2312"/>
          <w:sz w:val="32"/>
          <w:lang w:eastAsia="zh-CN"/>
        </w:rPr>
        <w:t>2019</w:t>
      </w:r>
      <w:r>
        <w:rPr>
          <w:rFonts w:hint="eastAsia" w:ascii="仿宋_GB2312" w:hAnsi="仿宋_GB2312" w:eastAsia="仿宋_GB2312" w:cs="仿宋_GB2312"/>
          <w:sz w:val="32"/>
        </w:rPr>
        <w:t>年度共接待国内来访团组</w:t>
      </w:r>
      <w:r>
        <w:rPr>
          <w:rFonts w:hint="eastAsia" w:ascii="仿宋_GB2312" w:hAnsi="仿宋_GB2312" w:eastAsia="仿宋_GB2312" w:cs="仿宋_GB2312"/>
          <w:sz w:val="32"/>
          <w:lang w:val="en-US" w:eastAsia="zh-CN"/>
        </w:rPr>
        <w:t>17</w:t>
      </w:r>
      <w:r>
        <w:rPr>
          <w:rFonts w:hint="eastAsia" w:ascii="仿宋_GB2312" w:hAnsi="仿宋_GB2312" w:eastAsia="仿宋_GB2312" w:cs="仿宋_GB2312"/>
          <w:sz w:val="32"/>
        </w:rPr>
        <w:t>个、来访人员</w:t>
      </w:r>
      <w:r>
        <w:rPr>
          <w:rFonts w:hint="eastAsia" w:ascii="仿宋_GB2312" w:hAnsi="仿宋_GB2312" w:eastAsia="仿宋_GB2312" w:cs="仿宋_GB2312"/>
          <w:sz w:val="32"/>
          <w:lang w:val="en-US" w:eastAsia="zh-CN"/>
        </w:rPr>
        <w:t>324</w:t>
      </w:r>
      <w:r>
        <w:rPr>
          <w:rFonts w:hint="eastAsia" w:ascii="仿宋_GB2312" w:hAnsi="仿宋_GB2312" w:eastAsia="仿宋_GB2312" w:cs="仿宋_GB2312"/>
          <w:sz w:val="32"/>
        </w:rPr>
        <w:t>人次（不包括陪同人员）。</w:t>
      </w:r>
    </w:p>
    <w:p>
      <w:pPr>
        <w:widowControl w:val="0"/>
        <w:wordWrap/>
        <w:adjustRightInd/>
        <w:snapToGrid/>
        <w:spacing w:line="560" w:lineRule="exact"/>
        <w:ind w:firstLine="640"/>
        <w:jc w:val="left"/>
        <w:textAlignment w:val="auto"/>
        <w:rPr>
          <w:rFonts w:hint="eastAsia" w:ascii="黑体" w:hAnsi="黑体" w:eastAsia="黑体" w:cs="黑体"/>
          <w:sz w:val="32"/>
        </w:rPr>
      </w:pPr>
      <w:r>
        <w:rPr>
          <w:rFonts w:hint="eastAsia" w:ascii="黑体" w:hAnsi="黑体" w:eastAsia="黑体" w:cs="黑体"/>
          <w:sz w:val="32"/>
        </w:rPr>
        <w:t>八、预算绩效情况说明</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（一）绩效管理工作开展情况。</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 xml:space="preserve">年一般性项目无涉及重大项目资金，无预算绩效项目。 </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（二）项目绩效自评结果。</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无预算绩效项目。</w:t>
      </w:r>
    </w:p>
    <w:p>
      <w:pPr>
        <w:spacing w:line="560" w:lineRule="exact"/>
        <w:ind w:firstLine="640" w:firstLineChars="200"/>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（三）以部门为主体开展的重点绩效评价结果。</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无预算绩效项目。</w:t>
      </w:r>
    </w:p>
    <w:p>
      <w:pPr>
        <w:widowControl w:val="0"/>
        <w:wordWrap/>
        <w:adjustRightInd/>
        <w:snapToGrid/>
        <w:spacing w:line="560" w:lineRule="exact"/>
        <w:ind w:firstLine="640" w:firstLineChars="200"/>
        <w:jc w:val="left"/>
        <w:textAlignment w:val="auto"/>
        <w:rPr>
          <w:rFonts w:hint="eastAsia" w:ascii="黑体" w:hAnsi="黑体" w:eastAsia="黑体" w:cs="黑体"/>
          <w:sz w:val="32"/>
        </w:rPr>
      </w:pPr>
      <w:r>
        <w:rPr>
          <w:rFonts w:hint="eastAsia" w:ascii="黑体" w:hAnsi="黑体" w:eastAsia="黑体" w:cs="黑体"/>
          <w:sz w:val="32"/>
        </w:rPr>
        <w:t>九、政府性基金预算财政拨款支出决算情况说明</w:t>
      </w:r>
    </w:p>
    <w:p>
      <w:pPr>
        <w:widowControl w:val="0"/>
        <w:wordWrap/>
        <w:adjustRightInd/>
        <w:snapToGrid/>
        <w:spacing w:line="560" w:lineRule="exact"/>
        <w:ind w:firstLine="640"/>
        <w:textAlignment w:val="auto"/>
        <w:rPr>
          <w:rFonts w:hint="eastAsia" w:ascii="仿宋_GB2312" w:hAnsi="仿宋_GB2312" w:eastAsia="仿宋_GB2312" w:cs="仿宋_GB2312"/>
          <w:sz w:val="32"/>
        </w:rPr>
      </w:pPr>
      <w:r>
        <w:rPr>
          <w:rFonts w:hint="eastAsia" w:ascii="仿宋_GB2312" w:hAnsi="仿宋_GB2312" w:eastAsia="仿宋_GB2312" w:cs="仿宋_GB2312"/>
          <w:sz w:val="32"/>
          <w:lang w:eastAsia="zh-CN"/>
        </w:rPr>
        <w:t>2019</w:t>
      </w:r>
      <w:r>
        <w:rPr>
          <w:rFonts w:hint="eastAsia" w:ascii="仿宋_GB2312" w:hAnsi="仿宋_GB2312" w:eastAsia="仿宋_GB2312" w:cs="仿宋_GB2312"/>
          <w:sz w:val="32"/>
        </w:rPr>
        <w:t>年度政府性基金预算财政拨款支出年初预算为0万元，支出决算为0万元，完成年初预算的0%。</w:t>
      </w:r>
    </w:p>
    <w:p>
      <w:pPr>
        <w:widowControl w:val="0"/>
        <w:wordWrap/>
        <w:adjustRightInd/>
        <w:snapToGrid/>
        <w:spacing w:line="560" w:lineRule="exact"/>
        <w:ind w:firstLine="640"/>
        <w:jc w:val="left"/>
        <w:textAlignment w:val="auto"/>
        <w:rPr>
          <w:rFonts w:hint="eastAsia" w:ascii="黑体" w:hAnsi="黑体" w:eastAsia="黑体" w:cs="黑体"/>
          <w:sz w:val="32"/>
        </w:rPr>
      </w:pPr>
      <w:r>
        <w:rPr>
          <w:rFonts w:hint="eastAsia" w:ascii="黑体" w:hAnsi="黑体" w:eastAsia="黑体" w:cs="黑体"/>
          <w:sz w:val="32"/>
        </w:rPr>
        <w:t>十、机关运行经费支出情况说明</w:t>
      </w:r>
    </w:p>
    <w:p>
      <w:pPr>
        <w:widowControl w:val="0"/>
        <w:wordWrap/>
        <w:adjustRightInd/>
        <w:snapToGrid/>
        <w:spacing w:line="560" w:lineRule="exact"/>
        <w:ind w:firstLine="640"/>
        <w:textAlignment w:val="auto"/>
        <w:rPr>
          <w:rFonts w:hint="eastAsia" w:ascii="仿宋_GB2312" w:hAnsi="仿宋_GB2312" w:eastAsia="仿宋_GB2312" w:cs="仿宋_GB2312"/>
          <w:sz w:val="32"/>
        </w:rPr>
      </w:pPr>
      <w:r>
        <w:rPr>
          <w:rFonts w:hint="eastAsia" w:ascii="仿宋_GB2312" w:hAnsi="仿宋_GB2312" w:eastAsia="仿宋_GB2312" w:cs="仿宋_GB2312"/>
          <w:sz w:val="32"/>
          <w:lang w:eastAsia="zh-CN"/>
        </w:rPr>
        <w:t>2019</w:t>
      </w:r>
      <w:r>
        <w:rPr>
          <w:rFonts w:hint="eastAsia" w:ascii="仿宋_GB2312" w:hAnsi="仿宋_GB2312" w:eastAsia="仿宋_GB2312" w:cs="仿宋_GB2312"/>
          <w:sz w:val="32"/>
        </w:rPr>
        <w:t>年度机关运行经费</w:t>
      </w:r>
      <w:r>
        <w:rPr>
          <w:rFonts w:hint="eastAsia" w:ascii="仿宋_GB2312" w:hAnsi="仿宋_GB2312" w:eastAsia="仿宋_GB2312" w:cs="仿宋_GB2312"/>
          <w:sz w:val="32"/>
          <w:lang w:eastAsia="zh-CN"/>
        </w:rPr>
        <w:t>年初预算</w:t>
      </w:r>
      <w:r>
        <w:rPr>
          <w:rFonts w:hint="eastAsia" w:ascii="仿宋_GB2312" w:hAnsi="仿宋_GB2312" w:eastAsia="仿宋_GB2312" w:cs="仿宋_GB2312"/>
          <w:sz w:val="32"/>
          <w:lang w:val="en-US" w:eastAsia="zh-CN"/>
        </w:rPr>
        <w:t>10</w:t>
      </w:r>
      <w:r>
        <w:rPr>
          <w:rFonts w:hint="eastAsia" w:ascii="仿宋_GB2312" w:hAnsi="仿宋_GB2312" w:eastAsia="仿宋_GB2312" w:cs="仿宋_GB2312"/>
          <w:sz w:val="32"/>
          <w:lang w:eastAsia="zh-CN"/>
        </w:rPr>
        <w:t>万元，</w:t>
      </w:r>
      <w:r>
        <w:rPr>
          <w:rFonts w:hint="eastAsia" w:ascii="仿宋_GB2312" w:hAnsi="仿宋_GB2312" w:eastAsia="仿宋_GB2312" w:cs="仿宋_GB2312"/>
          <w:sz w:val="32"/>
        </w:rPr>
        <w:t>支出</w:t>
      </w:r>
      <w:r>
        <w:rPr>
          <w:rFonts w:hint="eastAsia" w:ascii="仿宋_GB2312" w:hAnsi="仿宋_GB2312" w:eastAsia="仿宋_GB2312" w:cs="仿宋_GB2312"/>
          <w:sz w:val="32"/>
          <w:lang w:eastAsia="zh-CN"/>
        </w:rPr>
        <w:t>决算</w:t>
      </w:r>
      <w:r>
        <w:rPr>
          <w:rFonts w:hint="eastAsia" w:ascii="仿宋_GB2312" w:hAnsi="仿宋_GB2312" w:eastAsia="仿宋_GB2312" w:cs="仿宋_GB2312"/>
          <w:sz w:val="32"/>
          <w:lang w:val="en-US" w:eastAsia="zh-CN"/>
        </w:rPr>
        <w:t>1.84</w:t>
      </w:r>
      <w:r>
        <w:rPr>
          <w:rFonts w:hint="eastAsia" w:ascii="仿宋_GB2312" w:hAnsi="仿宋_GB2312" w:eastAsia="仿宋_GB2312" w:cs="仿宋_GB2312"/>
          <w:sz w:val="32"/>
        </w:rPr>
        <w:t>万元，</w:t>
      </w:r>
      <w:r>
        <w:rPr>
          <w:rFonts w:hint="eastAsia" w:ascii="仿宋_GB2312" w:hAnsi="仿宋_GB2312" w:eastAsia="仿宋_GB2312" w:cs="仿宋_GB2312"/>
          <w:sz w:val="32"/>
          <w:lang w:eastAsia="zh-CN"/>
        </w:rPr>
        <w:t>完成年初预算</w:t>
      </w:r>
      <w:r>
        <w:rPr>
          <w:rFonts w:hint="eastAsia" w:ascii="仿宋_GB2312" w:hAnsi="仿宋_GB2312" w:eastAsia="仿宋_GB2312" w:cs="仿宋_GB2312"/>
          <w:sz w:val="32"/>
          <w:lang w:val="en-US" w:eastAsia="zh-CN"/>
        </w:rPr>
        <w:t>18.4%</w:t>
      </w:r>
      <w:r>
        <w:rPr>
          <w:rFonts w:hint="eastAsia" w:ascii="仿宋_GB2312" w:hAnsi="仿宋_GB2312" w:eastAsia="仿宋_GB2312" w:cs="仿宋_GB2312"/>
          <w:sz w:val="32"/>
        </w:rPr>
        <w:t>。</w:t>
      </w:r>
      <w:r>
        <w:rPr>
          <w:rFonts w:hint="eastAsia" w:ascii="仿宋_GB2312" w:hAnsi="仿宋_GB2312" w:eastAsia="仿宋_GB2312" w:cs="仿宋_GB2312"/>
          <w:kern w:val="0"/>
          <w:sz w:val="32"/>
          <w:szCs w:val="32"/>
          <w:lang w:val="zh-CN"/>
        </w:rPr>
        <w:t>决算数与年初预算数存在差异的主要原因是</w:t>
      </w:r>
      <w:r>
        <w:rPr>
          <w:rFonts w:hint="eastAsia" w:ascii="仿宋_GB2312" w:hAnsi="仿宋_GB2312" w:eastAsia="仿宋_GB2312" w:cs="仿宋_GB2312"/>
          <w:sz w:val="32"/>
        </w:rPr>
        <w:t>严格经费支出，降低行政成本，厉行节约。</w:t>
      </w:r>
    </w:p>
    <w:p>
      <w:pPr>
        <w:widowControl w:val="0"/>
        <w:wordWrap/>
        <w:adjustRightInd/>
        <w:snapToGrid/>
        <w:spacing w:line="560" w:lineRule="exact"/>
        <w:ind w:firstLine="640"/>
        <w:jc w:val="left"/>
        <w:textAlignment w:val="auto"/>
        <w:rPr>
          <w:rFonts w:hint="eastAsia" w:ascii="黑体" w:hAnsi="黑体" w:eastAsia="黑体" w:cs="黑体"/>
          <w:sz w:val="32"/>
        </w:rPr>
      </w:pPr>
      <w:r>
        <w:rPr>
          <w:rFonts w:hint="eastAsia" w:ascii="黑体" w:hAnsi="黑体" w:eastAsia="黑体" w:cs="黑体"/>
          <w:sz w:val="32"/>
        </w:rPr>
        <w:t>十一、政府采购支出情况说明</w:t>
      </w:r>
    </w:p>
    <w:p>
      <w:pPr>
        <w:widowControl w:val="0"/>
        <w:wordWrap/>
        <w:adjustRightInd/>
        <w:snapToGrid/>
        <w:spacing w:line="560" w:lineRule="exact"/>
        <w:ind w:firstLine="640"/>
        <w:textAlignment w:val="auto"/>
        <w:rPr>
          <w:rFonts w:hint="eastAsia" w:ascii="仿宋_GB2312" w:hAnsi="仿宋_GB2312" w:eastAsia="仿宋_GB2312" w:cs="仿宋_GB2312"/>
          <w:sz w:val="32"/>
        </w:rPr>
      </w:pPr>
      <w:r>
        <w:rPr>
          <w:rFonts w:hint="eastAsia" w:ascii="仿宋_GB2312" w:hAnsi="仿宋_GB2312" w:eastAsia="仿宋_GB2312" w:cs="仿宋_GB2312"/>
          <w:sz w:val="32"/>
          <w:lang w:eastAsia="zh-CN"/>
        </w:rPr>
        <w:t>2019</w:t>
      </w:r>
      <w:r>
        <w:rPr>
          <w:rFonts w:hint="eastAsia" w:ascii="仿宋_GB2312" w:hAnsi="仿宋_GB2312" w:eastAsia="仿宋_GB2312" w:cs="仿宋_GB2312"/>
          <w:sz w:val="32"/>
        </w:rPr>
        <w:t>年度政府采购支出总额0万元。</w:t>
      </w:r>
    </w:p>
    <w:p>
      <w:pPr>
        <w:widowControl w:val="0"/>
        <w:wordWrap/>
        <w:adjustRightInd/>
        <w:snapToGrid/>
        <w:spacing w:line="560" w:lineRule="exact"/>
        <w:ind w:firstLine="640"/>
        <w:jc w:val="left"/>
        <w:textAlignment w:val="auto"/>
        <w:rPr>
          <w:rFonts w:hint="eastAsia" w:ascii="黑体" w:hAnsi="黑体" w:eastAsia="黑体" w:cs="黑体"/>
          <w:sz w:val="32"/>
        </w:rPr>
      </w:pPr>
      <w:r>
        <w:rPr>
          <w:rFonts w:hint="eastAsia" w:ascii="黑体" w:hAnsi="黑体" w:eastAsia="黑体" w:cs="黑体"/>
          <w:sz w:val="32"/>
        </w:rPr>
        <w:t>十二、国有资产占用情况说明</w:t>
      </w:r>
    </w:p>
    <w:p>
      <w:pPr>
        <w:widowControl w:val="0"/>
        <w:wordWrap/>
        <w:adjustRightInd/>
        <w:snapToGrid/>
        <w:spacing w:line="560" w:lineRule="exact"/>
        <w:ind w:firstLine="640"/>
        <w:jc w:val="left"/>
        <w:textAlignment w:val="auto"/>
        <w:rPr>
          <w:rFonts w:hint="eastAsia" w:ascii="仿宋_GB2312" w:hAnsi="仿宋_GB2312" w:eastAsia="仿宋_GB2312" w:cs="仿宋_GB2312"/>
          <w:sz w:val="32"/>
        </w:rPr>
      </w:pPr>
      <w:r>
        <w:rPr>
          <w:rFonts w:hint="eastAsia" w:ascii="仿宋_GB2312" w:hAnsi="仿宋_GB2312" w:eastAsia="仿宋_GB2312" w:cs="仿宋_GB2312"/>
          <w:sz w:val="32"/>
          <w:lang w:eastAsia="zh-CN"/>
        </w:rPr>
        <w:t>2019</w:t>
      </w:r>
      <w:r>
        <w:rPr>
          <w:rFonts w:hint="eastAsia" w:ascii="仿宋_GB2312" w:hAnsi="仿宋_GB2312" w:eastAsia="仿宋_GB2312" w:cs="仿宋_GB2312"/>
          <w:sz w:val="32"/>
        </w:rPr>
        <w:t>年期末，河南省中共三门峡市湖滨区委统战部共有车辆1辆，为一般公务用车。</w:t>
      </w:r>
    </w:p>
    <w:p>
      <w:pPr>
        <w:widowControl w:val="0"/>
        <w:wordWrap/>
        <w:adjustRightInd/>
        <w:snapToGrid/>
        <w:spacing w:line="560" w:lineRule="exact"/>
        <w:ind w:firstLine="640"/>
        <w:jc w:val="left"/>
        <w:textAlignment w:val="auto"/>
        <w:rPr>
          <w:rFonts w:hint="eastAsia" w:ascii="黑体" w:hAnsi="黑体" w:eastAsia="黑体" w:cs="黑体"/>
          <w:sz w:val="32"/>
        </w:rPr>
      </w:pPr>
      <w:r>
        <w:rPr>
          <w:rFonts w:hint="eastAsia" w:ascii="黑体" w:hAnsi="黑体" w:eastAsia="黑体" w:cs="黑体"/>
          <w:sz w:val="32"/>
        </w:rPr>
        <w:t>十三、其他重要事项的情况说明</w:t>
      </w:r>
    </w:p>
    <w:p>
      <w:pPr>
        <w:widowControl/>
        <w:spacing w:line="590" w:lineRule="exact"/>
        <w:ind w:firstLine="640" w:firstLineChars="200"/>
        <w:rPr>
          <w:rFonts w:ascii="黑体" w:hAnsi="黑体" w:eastAsia="黑体"/>
          <w:sz w:val="48"/>
        </w:rPr>
      </w:pPr>
      <w:r>
        <w:rPr>
          <w:rFonts w:hint="eastAsia" w:ascii="仿宋_GB2312" w:hAnsi="仿宋_GB2312" w:eastAsia="仿宋_GB2312" w:cs="仿宋_GB2312"/>
          <w:sz w:val="32"/>
          <w:szCs w:val="32"/>
          <w:lang w:eastAsia="zh-CN"/>
        </w:rPr>
        <w:t>无重要事项说明。</w:t>
      </w:r>
    </w:p>
    <w:p>
      <w:pPr>
        <w:ind w:firstLine="3360" w:firstLineChars="700"/>
        <w:rPr>
          <w:rFonts w:ascii="黑体" w:hAnsi="黑体" w:eastAsia="黑体"/>
          <w:sz w:val="48"/>
        </w:rPr>
      </w:pPr>
    </w:p>
    <w:p>
      <w:pPr>
        <w:ind w:firstLine="3360" w:firstLineChars="700"/>
        <w:rPr>
          <w:rFonts w:ascii="黑体" w:hAnsi="黑体" w:eastAsia="黑体"/>
          <w:sz w:val="48"/>
        </w:rPr>
      </w:pPr>
    </w:p>
    <w:p>
      <w:pPr>
        <w:ind w:firstLine="3360" w:firstLineChars="700"/>
        <w:rPr>
          <w:rFonts w:ascii="黑体" w:hAnsi="黑体" w:eastAsia="黑体"/>
          <w:sz w:val="48"/>
        </w:rPr>
      </w:pPr>
    </w:p>
    <w:p>
      <w:pPr>
        <w:ind w:firstLine="3360" w:firstLineChars="700"/>
        <w:rPr>
          <w:rFonts w:ascii="黑体" w:hAnsi="黑体" w:eastAsia="黑体"/>
          <w:sz w:val="48"/>
        </w:rPr>
      </w:pPr>
    </w:p>
    <w:p>
      <w:pPr>
        <w:ind w:firstLine="3360" w:firstLineChars="700"/>
        <w:rPr>
          <w:rFonts w:ascii="黑体" w:hAnsi="黑体" w:eastAsia="黑体"/>
          <w:sz w:val="48"/>
        </w:rPr>
      </w:pPr>
    </w:p>
    <w:p>
      <w:pPr>
        <w:ind w:firstLine="3360" w:firstLineChars="700"/>
        <w:rPr>
          <w:rFonts w:ascii="黑体" w:hAnsi="黑体" w:eastAsia="黑体"/>
          <w:sz w:val="48"/>
        </w:rPr>
      </w:pPr>
    </w:p>
    <w:p>
      <w:pPr>
        <w:ind w:firstLine="3360" w:firstLineChars="700"/>
        <w:rPr>
          <w:rFonts w:ascii="黑体" w:hAnsi="黑体" w:eastAsia="黑体"/>
          <w:sz w:val="48"/>
        </w:rPr>
      </w:pPr>
    </w:p>
    <w:p>
      <w:pPr>
        <w:ind w:firstLine="3360" w:firstLineChars="700"/>
        <w:rPr>
          <w:rFonts w:ascii="黑体" w:hAnsi="黑体" w:eastAsia="黑体"/>
          <w:sz w:val="48"/>
        </w:rPr>
      </w:pPr>
    </w:p>
    <w:p>
      <w:pPr>
        <w:ind w:firstLine="3360" w:firstLineChars="700"/>
        <w:rPr>
          <w:rFonts w:ascii="黑体" w:hAnsi="黑体" w:eastAsia="黑体"/>
          <w:sz w:val="48"/>
        </w:rPr>
      </w:pPr>
    </w:p>
    <w:p>
      <w:pPr>
        <w:ind w:firstLine="3360" w:firstLineChars="700"/>
        <w:rPr>
          <w:rFonts w:ascii="黑体" w:hAnsi="黑体" w:eastAsia="黑体"/>
          <w:sz w:val="48"/>
        </w:rPr>
      </w:pPr>
    </w:p>
    <w:p>
      <w:pPr>
        <w:ind w:firstLine="1920" w:firstLineChars="400"/>
        <w:rPr>
          <w:rFonts w:ascii="黑体" w:hAnsi="黑体" w:eastAsia="黑体"/>
          <w:sz w:val="48"/>
        </w:rPr>
      </w:pPr>
      <w:r>
        <w:rPr>
          <w:rFonts w:hint="eastAsia" w:ascii="宋体" w:hAnsi="宋体" w:cs="宋体"/>
          <w:sz w:val="48"/>
        </w:rPr>
        <w:t>第四部分</w:t>
      </w:r>
      <w:r>
        <w:rPr>
          <w:rFonts w:hint="eastAsia" w:ascii="黑体" w:hAnsi="黑体" w:eastAsia="黑体"/>
          <w:sz w:val="48"/>
        </w:rPr>
        <w:t>名词解释</w:t>
      </w:r>
    </w:p>
    <w:p>
      <w:pPr>
        <w:pStyle w:val="6"/>
        <w:shd w:val="clear" w:color="auto" w:fill="FFFFFF"/>
        <w:spacing w:beforeAutospacing="0" w:afterAutospacing="0" w:line="30" w:lineRule="atLeast"/>
        <w:ind w:firstLine="420"/>
        <w:rPr>
          <w:rFonts w:ascii="仿宋_GB2312" w:hAnsi="仿宋_GB2312" w:eastAsia="仿宋_GB2312"/>
          <w:color w:val="333333"/>
          <w:sz w:val="32"/>
          <w:shd w:val="clear" w:color="auto" w:fill="FFFFFF"/>
        </w:rPr>
      </w:pPr>
    </w:p>
    <w:p>
      <w:pPr>
        <w:widowControl/>
        <w:spacing w:line="590" w:lineRule="exact"/>
        <w:ind w:firstLine="640" w:firstLineChars="200"/>
        <w:jc w:val="left"/>
        <w:rPr>
          <w:rFonts w:ascii="仿宋_GB2312" w:hAnsi="仿宋_GB2312" w:eastAsia="仿宋_GB2312" w:cs="仿宋_GB2312"/>
          <w:sz w:val="32"/>
          <w:szCs w:val="32"/>
        </w:rPr>
      </w:pPr>
    </w:p>
    <w:p>
      <w:pPr>
        <w:widowControl/>
        <w:spacing w:line="590" w:lineRule="exact"/>
        <w:ind w:firstLine="640" w:firstLineChars="200"/>
        <w:jc w:val="left"/>
        <w:rPr>
          <w:rFonts w:ascii="仿宋_GB2312" w:hAnsi="仿宋_GB2312" w:eastAsia="仿宋_GB2312" w:cs="仿宋_GB2312"/>
          <w:sz w:val="32"/>
          <w:szCs w:val="32"/>
        </w:rPr>
      </w:pPr>
    </w:p>
    <w:p>
      <w:pPr>
        <w:widowControl/>
        <w:spacing w:line="590" w:lineRule="exact"/>
        <w:ind w:firstLine="640" w:firstLineChars="200"/>
        <w:jc w:val="left"/>
        <w:rPr>
          <w:rFonts w:ascii="仿宋_GB2312" w:hAnsi="仿宋_GB2312" w:eastAsia="仿宋_GB2312" w:cs="仿宋_GB2312"/>
          <w:sz w:val="32"/>
          <w:szCs w:val="32"/>
        </w:rPr>
      </w:pPr>
    </w:p>
    <w:p>
      <w:pPr>
        <w:widowControl/>
        <w:spacing w:line="590" w:lineRule="exact"/>
        <w:ind w:firstLine="640" w:firstLineChars="200"/>
        <w:jc w:val="left"/>
        <w:rPr>
          <w:rFonts w:ascii="仿宋_GB2312" w:hAnsi="仿宋_GB2312" w:eastAsia="仿宋_GB2312" w:cs="仿宋_GB2312"/>
          <w:sz w:val="32"/>
          <w:szCs w:val="32"/>
        </w:rPr>
      </w:pPr>
    </w:p>
    <w:p>
      <w:pPr>
        <w:widowControl/>
        <w:spacing w:line="590" w:lineRule="exact"/>
        <w:ind w:firstLine="640" w:firstLineChars="200"/>
        <w:jc w:val="left"/>
        <w:rPr>
          <w:rFonts w:ascii="仿宋_GB2312" w:hAnsi="仿宋_GB2312" w:eastAsia="仿宋_GB2312" w:cs="仿宋_GB2312"/>
          <w:sz w:val="32"/>
          <w:szCs w:val="32"/>
        </w:rPr>
      </w:pPr>
    </w:p>
    <w:p>
      <w:pPr>
        <w:widowControl/>
        <w:spacing w:line="590" w:lineRule="exact"/>
        <w:ind w:firstLine="640" w:firstLineChars="200"/>
        <w:jc w:val="left"/>
        <w:rPr>
          <w:rFonts w:ascii="仿宋_GB2312" w:hAnsi="仿宋_GB2312" w:eastAsia="仿宋_GB2312" w:cs="仿宋_GB2312"/>
          <w:sz w:val="32"/>
          <w:szCs w:val="32"/>
        </w:rPr>
      </w:pPr>
    </w:p>
    <w:p>
      <w:pPr>
        <w:widowControl/>
        <w:spacing w:line="590" w:lineRule="exact"/>
        <w:ind w:firstLine="640" w:firstLineChars="200"/>
        <w:jc w:val="left"/>
        <w:rPr>
          <w:rFonts w:ascii="仿宋_GB2312" w:hAnsi="仿宋_GB2312" w:eastAsia="仿宋_GB2312" w:cs="仿宋_GB2312"/>
          <w:sz w:val="32"/>
          <w:szCs w:val="32"/>
        </w:rPr>
      </w:pPr>
    </w:p>
    <w:p>
      <w:pPr>
        <w:widowControl/>
        <w:spacing w:line="590" w:lineRule="exact"/>
        <w:ind w:firstLine="640" w:firstLineChars="200"/>
        <w:jc w:val="left"/>
        <w:rPr>
          <w:rFonts w:ascii="仿宋_GB2312" w:hAnsi="仿宋_GB2312" w:eastAsia="仿宋_GB2312" w:cs="仿宋_GB2312"/>
          <w:sz w:val="32"/>
          <w:szCs w:val="32"/>
        </w:rPr>
      </w:pPr>
    </w:p>
    <w:p>
      <w:pPr>
        <w:widowControl/>
        <w:spacing w:line="590" w:lineRule="exact"/>
        <w:ind w:firstLine="640" w:firstLineChars="200"/>
        <w:jc w:val="left"/>
        <w:rPr>
          <w:rFonts w:ascii="仿宋_GB2312" w:hAnsi="仿宋_GB2312" w:eastAsia="仿宋_GB2312" w:cs="仿宋_GB2312"/>
          <w:sz w:val="32"/>
          <w:szCs w:val="32"/>
        </w:rPr>
      </w:pPr>
    </w:p>
    <w:p>
      <w:pPr>
        <w:widowControl/>
        <w:spacing w:line="590" w:lineRule="exact"/>
        <w:ind w:firstLine="640" w:firstLineChars="200"/>
        <w:jc w:val="left"/>
        <w:rPr>
          <w:rFonts w:ascii="仿宋_GB2312" w:hAnsi="仿宋_GB2312" w:eastAsia="仿宋_GB2312" w:cs="仿宋_GB2312"/>
          <w:sz w:val="32"/>
          <w:szCs w:val="32"/>
        </w:rPr>
      </w:pPr>
    </w:p>
    <w:p>
      <w:pPr>
        <w:widowControl/>
        <w:spacing w:line="590" w:lineRule="exact"/>
        <w:ind w:firstLine="640" w:firstLineChars="200"/>
        <w:jc w:val="left"/>
        <w:rPr>
          <w:rFonts w:ascii="仿宋_GB2312" w:hAnsi="仿宋_GB2312" w:eastAsia="仿宋_GB2312" w:cs="仿宋_GB2312"/>
          <w:sz w:val="32"/>
          <w:szCs w:val="32"/>
        </w:rPr>
      </w:pPr>
    </w:p>
    <w:p>
      <w:pPr>
        <w:widowControl/>
        <w:spacing w:line="590" w:lineRule="exact"/>
        <w:ind w:firstLine="640" w:firstLineChars="200"/>
        <w:jc w:val="left"/>
        <w:rPr>
          <w:rFonts w:ascii="仿宋_GB2312" w:hAnsi="仿宋_GB2312" w:eastAsia="仿宋_GB2312" w:cs="仿宋_GB2312"/>
          <w:sz w:val="32"/>
          <w:szCs w:val="32"/>
        </w:rPr>
      </w:pP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一、财政拨款收入：单位从同级政府财政部门取得的财政预算资金。</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二、基本支出：为保障机构正常运转、完成日常工作任务而发生的人员支出和公用支出。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三、项目支出：基本支出之外为完成特定行政任务和事业发展目标所发生的支出。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三公”经费：纳入同级财政预决算管理“三公”经费，指部门使用财政拨款安排的因公出国（境）费、公务用车购置及运行费和公务接待费。其中，因公出国（境）费反映单位公务出国（境）的国际旅费、国外城市间交通费、住宿费、伙食费、培训费、公杂费等支出；公务用车购置及运行费反映反映单位公务用车车辆购置支出（含车辆购置税）及租用费、燃料费、维修费、过路过桥费、保险费、安全奖励费用等支出；公务接待费反映单位按规定开支的各类公务接待（含外宾接待）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五、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六、工资福利支出：单位支付给在职职工和编制外长期聘用人员的各类劳动报酬，以及为上述人员缴纳的各项社会保险费等。</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七、商品和服务支出：单位购买商品和服务的支出。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八、对个人和家庭的补助支出：单位用于对个人和家庭的补助支出。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九、年末结转：本年度或以前年度预算安排，已执行但尚未完成或因客观条件发生变化无法按原计划实施，需延迟到以后年度按有关规定继续使用的资金。</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十、年末结余：本年度或以前年度预算安排，已执行完毕或因客观条件发生变化无法按原预算安排实施，不需要再使用或无法按原预算安排继续使用的资金</w:t>
      </w:r>
    </w:p>
    <w:p>
      <w:pPr>
        <w:kinsoku w:val="0"/>
        <w:overflowPunct w:val="0"/>
        <w:autoSpaceDE w:val="0"/>
        <w:autoSpaceDN w:val="0"/>
        <w:adjustRightInd w:val="0"/>
        <w:snapToGrid w:val="0"/>
        <w:spacing w:before="100" w:beforeAutospacing="1" w:after="100" w:afterAutospacing="1" w:line="360" w:lineRule="auto"/>
        <w:ind w:right="118"/>
        <w:jc w:val="left"/>
        <w:rPr>
          <w:rFonts w:ascii="仿宋_GB2312" w:hAnsi="宋体" w:eastAsia="仿宋_GB2312" w:cs="宋体"/>
          <w:kern w:val="0"/>
          <w:sz w:val="32"/>
          <w:szCs w:val="32"/>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0"/>
    <w:family w:val="auto"/>
    <w:pitch w:val="default"/>
    <w:sig w:usb0="E4002EFF" w:usb1="C000247B" w:usb2="00000009" w:usb3="00000000" w:csb0="200001FF" w:csb1="00000000"/>
  </w:font>
  <w:font w:name="仿宋_GB2312">
    <w:altName w:val="仿宋"/>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r>
      <w:rPr>
        <w:rFonts w:ascii="Calibri" w:hAnsi="Calibri" w:eastAsia="宋体" w:cs="Times New Roman"/>
        <w:kern w:val="2"/>
        <w:sz w:val="18"/>
        <w:szCs w:val="18"/>
        <w:lang w:val="en-US" w:eastAsia="zh-CN" w:bidi="ar-SA"/>
      </w:rPr>
      <w:pict>
        <v:rect id="文本框 1025" o:spid="_x0000_s1025" style="position:absolute;left:0;margin-top:0pt;height:144pt;width:144pt;mso-position-horizontal:center;mso-position-horizontal-relative:margin;mso-wrap-style:non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3"/>
                </w:pPr>
                <w:r>
                  <w:fldChar w:fldCharType="begin"/>
                </w:r>
                <w:r>
                  <w:instrText xml:space="preserve"> PAGE  \* MERGEFORMAT </w:instrText>
                </w:r>
                <w:r>
                  <w:fldChar w:fldCharType="separate"/>
                </w:r>
                <w:r>
                  <w:t>1</w:t>
                </w:r>
                <w:r>
                  <w:fldChar w:fldCharType="end"/>
                </w:r>
              </w:p>
            </w:txbxContent>
          </v:textbox>
        </v:rect>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r>
      <w:rPr>
        <w:rFonts w:ascii="Calibri" w:hAnsi="Calibri" w:eastAsia="宋体" w:cs="Times New Roman"/>
        <w:kern w:val="2"/>
        <w:sz w:val="18"/>
        <w:szCs w:val="18"/>
        <w:lang w:val="en-US" w:eastAsia="zh-CN" w:bidi="ar-SA"/>
      </w:rPr>
      <w:pict>
        <v:rect id="文本框 1026" o:spid="_x0000_s1026" style="position:absolute;left:0;margin-top:0pt;height:144pt;width:144pt;mso-position-horizontal:center;mso-position-horizontal-relative:margin;mso-wrap-style:none;rotation:0f;z-index:251659264;"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3"/>
                </w:pPr>
                <w:r>
                  <w:fldChar w:fldCharType="begin"/>
                </w:r>
                <w:r>
                  <w:instrText xml:space="preserve"> PAGE  \* MERGEFORMAT </w:instrText>
                </w:r>
                <w:r>
                  <w:fldChar w:fldCharType="separate"/>
                </w:r>
                <w:r>
                  <w:t>24</w:t>
                </w:r>
                <w:r>
                  <w:fldChar w:fldCharType="end"/>
                </w:r>
              </w:p>
            </w:txbxContent>
          </v:textbox>
        </v:rect>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
    <w:nsid w:val="00000003"/>
    <w:multiLevelType w:val="multilevel"/>
    <w:tmpl w:val="00000003"/>
    <w:lvl w:ilvl="0" w:tentative="1">
      <w:start w:val="1"/>
      <w:numFmt w:val="decimal"/>
      <w:suff w:val="nothing"/>
      <w:lvlText w:val="%1、"/>
      <w:lvlJc w:val="left"/>
      <w:rPr>
        <w:rFonts w:hint="default" w:ascii="Times New Roman" w:hAnsi="Times New Roman" w:cs="Times New Roman"/>
      </w:rPr>
    </w:lvl>
    <w:lvl w:ilvl="1" w:tentative="1">
      <w:start w:val="1"/>
      <w:numFmt w:val="decimal"/>
      <w:lvlText w:val="%2."/>
      <w:lvlJc w:val="left"/>
      <w:pPr>
        <w:tabs>
          <w:tab w:val="left" w:pos="1440"/>
        </w:tabs>
        <w:ind w:left="1440" w:hanging="360"/>
      </w:pPr>
      <w:rPr>
        <w:rFonts w:cs="Times New Roman"/>
      </w:rPr>
    </w:lvl>
    <w:lvl w:ilvl="2" w:tentative="1">
      <w:start w:val="1"/>
      <w:numFmt w:val="decimal"/>
      <w:lvlText w:val="%3."/>
      <w:lvlJc w:val="left"/>
      <w:pPr>
        <w:tabs>
          <w:tab w:val="left" w:pos="2160"/>
        </w:tabs>
        <w:ind w:left="2160" w:hanging="360"/>
      </w:pPr>
      <w:rPr>
        <w:rFonts w:cs="Times New Roman"/>
      </w:rPr>
    </w:lvl>
    <w:lvl w:ilvl="3" w:tentative="1">
      <w:start w:val="1"/>
      <w:numFmt w:val="decimal"/>
      <w:lvlText w:val="%4."/>
      <w:lvlJc w:val="left"/>
      <w:pPr>
        <w:tabs>
          <w:tab w:val="left" w:pos="2880"/>
        </w:tabs>
        <w:ind w:left="2880" w:hanging="360"/>
      </w:pPr>
      <w:rPr>
        <w:rFonts w:cs="Times New Roman"/>
      </w:rPr>
    </w:lvl>
    <w:lvl w:ilvl="4" w:tentative="1">
      <w:start w:val="1"/>
      <w:numFmt w:val="decimal"/>
      <w:lvlText w:val="%5."/>
      <w:lvlJc w:val="left"/>
      <w:pPr>
        <w:tabs>
          <w:tab w:val="left" w:pos="3600"/>
        </w:tabs>
        <w:ind w:left="3600" w:hanging="360"/>
      </w:pPr>
      <w:rPr>
        <w:rFonts w:cs="Times New Roman"/>
      </w:rPr>
    </w:lvl>
    <w:lvl w:ilvl="5" w:tentative="1">
      <w:start w:val="1"/>
      <w:numFmt w:val="decimal"/>
      <w:lvlText w:val="%6."/>
      <w:lvlJc w:val="left"/>
      <w:pPr>
        <w:tabs>
          <w:tab w:val="left" w:pos="4320"/>
        </w:tabs>
        <w:ind w:left="4320" w:hanging="360"/>
      </w:pPr>
      <w:rPr>
        <w:rFonts w:cs="Times New Roman"/>
      </w:rPr>
    </w:lvl>
    <w:lvl w:ilvl="6" w:tentative="1">
      <w:start w:val="1"/>
      <w:numFmt w:val="decimal"/>
      <w:lvlText w:val="%7."/>
      <w:lvlJc w:val="left"/>
      <w:pPr>
        <w:tabs>
          <w:tab w:val="left" w:pos="5040"/>
        </w:tabs>
        <w:ind w:left="5040" w:hanging="360"/>
      </w:pPr>
      <w:rPr>
        <w:rFonts w:cs="Times New Roman"/>
      </w:rPr>
    </w:lvl>
    <w:lvl w:ilvl="7" w:tentative="1">
      <w:start w:val="1"/>
      <w:numFmt w:val="decimal"/>
      <w:lvlText w:val="%8."/>
      <w:lvlJc w:val="left"/>
      <w:pPr>
        <w:tabs>
          <w:tab w:val="left" w:pos="5760"/>
        </w:tabs>
        <w:ind w:left="5760" w:hanging="360"/>
      </w:pPr>
      <w:rPr>
        <w:rFonts w:cs="Times New Roman"/>
      </w:rPr>
    </w:lvl>
    <w:lvl w:ilvl="8" w:tentative="1">
      <w:start w:val="1"/>
      <w:numFmt w:val="decimal"/>
      <w:lvlText w:val="%9."/>
      <w:lvlJc w:val="left"/>
      <w:pPr>
        <w:tabs>
          <w:tab w:val="left" w:pos="6480"/>
        </w:tabs>
        <w:ind w:left="6480" w:hanging="360"/>
      </w:pPr>
      <w:rPr>
        <w:rFonts w:cs="Times New Roman"/>
      </w:rPr>
    </w:lvl>
  </w:abstractNum>
  <w:abstractNum w:abstractNumId="4">
    <w:nsid w:val="00000004"/>
    <w:multiLevelType w:val="multilevel"/>
    <w:tmpl w:val="00000004"/>
    <w:lvl w:ilvl="0" w:tentative="1">
      <w:start w:val="1"/>
      <w:numFmt w:val="chineseCounting"/>
      <w:suff w:val="nothing"/>
      <w:lvlText w:val="%1、"/>
      <w:lvlJc w:val="left"/>
      <w:rPr>
        <w:rFonts w:hint="default" w:ascii="Times New Roman" w:hAnsi="Times New Roman" w:cs="Times New Roman"/>
      </w:rPr>
    </w:lvl>
    <w:lvl w:ilvl="1" w:tentative="1">
      <w:start w:val="1"/>
      <w:numFmt w:val="decimal"/>
      <w:lvlText w:val="%2."/>
      <w:lvlJc w:val="left"/>
      <w:pPr>
        <w:tabs>
          <w:tab w:val="left" w:pos="1440"/>
        </w:tabs>
        <w:ind w:left="1440" w:hanging="360"/>
      </w:pPr>
      <w:rPr>
        <w:rFonts w:cs="Times New Roman"/>
      </w:rPr>
    </w:lvl>
    <w:lvl w:ilvl="2" w:tentative="1">
      <w:start w:val="1"/>
      <w:numFmt w:val="decimal"/>
      <w:lvlText w:val="%3."/>
      <w:lvlJc w:val="left"/>
      <w:pPr>
        <w:tabs>
          <w:tab w:val="left" w:pos="2160"/>
        </w:tabs>
        <w:ind w:left="2160" w:hanging="360"/>
      </w:pPr>
      <w:rPr>
        <w:rFonts w:cs="Times New Roman"/>
      </w:rPr>
    </w:lvl>
    <w:lvl w:ilvl="3" w:tentative="1">
      <w:start w:val="1"/>
      <w:numFmt w:val="decimal"/>
      <w:lvlText w:val="%4."/>
      <w:lvlJc w:val="left"/>
      <w:pPr>
        <w:tabs>
          <w:tab w:val="left" w:pos="2880"/>
        </w:tabs>
        <w:ind w:left="2880" w:hanging="360"/>
      </w:pPr>
      <w:rPr>
        <w:rFonts w:cs="Times New Roman"/>
      </w:rPr>
    </w:lvl>
    <w:lvl w:ilvl="4" w:tentative="1">
      <w:start w:val="1"/>
      <w:numFmt w:val="decimal"/>
      <w:lvlText w:val="%5."/>
      <w:lvlJc w:val="left"/>
      <w:pPr>
        <w:tabs>
          <w:tab w:val="left" w:pos="3600"/>
        </w:tabs>
        <w:ind w:left="3600" w:hanging="360"/>
      </w:pPr>
      <w:rPr>
        <w:rFonts w:cs="Times New Roman"/>
      </w:rPr>
    </w:lvl>
    <w:lvl w:ilvl="5" w:tentative="1">
      <w:start w:val="1"/>
      <w:numFmt w:val="decimal"/>
      <w:lvlText w:val="%6."/>
      <w:lvlJc w:val="left"/>
      <w:pPr>
        <w:tabs>
          <w:tab w:val="left" w:pos="4320"/>
        </w:tabs>
        <w:ind w:left="4320" w:hanging="360"/>
      </w:pPr>
      <w:rPr>
        <w:rFonts w:cs="Times New Roman"/>
      </w:rPr>
    </w:lvl>
    <w:lvl w:ilvl="6" w:tentative="1">
      <w:start w:val="1"/>
      <w:numFmt w:val="decimal"/>
      <w:lvlText w:val="%7."/>
      <w:lvlJc w:val="left"/>
      <w:pPr>
        <w:tabs>
          <w:tab w:val="left" w:pos="5040"/>
        </w:tabs>
        <w:ind w:left="5040" w:hanging="360"/>
      </w:pPr>
      <w:rPr>
        <w:rFonts w:cs="Times New Roman"/>
      </w:rPr>
    </w:lvl>
    <w:lvl w:ilvl="7" w:tentative="1">
      <w:start w:val="1"/>
      <w:numFmt w:val="decimal"/>
      <w:lvlText w:val="%8."/>
      <w:lvlJc w:val="left"/>
      <w:pPr>
        <w:tabs>
          <w:tab w:val="left" w:pos="5760"/>
        </w:tabs>
        <w:ind w:left="5760" w:hanging="360"/>
      </w:pPr>
      <w:rPr>
        <w:rFonts w:cs="Times New Roman"/>
      </w:rPr>
    </w:lvl>
    <w:lvl w:ilvl="8" w:tentative="1">
      <w:start w:val="1"/>
      <w:numFmt w:val="decimal"/>
      <w:lvlText w:val="%9."/>
      <w:lvlJc w:val="left"/>
      <w:pPr>
        <w:tabs>
          <w:tab w:val="left" w:pos="6480"/>
        </w:tabs>
        <w:ind w:left="6480" w:hanging="360"/>
      </w:pPr>
      <w:rPr>
        <w:rFonts w:cs="Times New Roman"/>
      </w:rPr>
    </w:lvl>
  </w:abstractNum>
  <w:abstractNum w:abstractNumId="5">
    <w:nsid w:val="00000005"/>
    <w:multiLevelType w:val="multilevel"/>
    <w:tmpl w:val="00000005"/>
    <w:lvl w:ilvl="0" w:tentative="1">
      <w:start w:val="1"/>
      <w:numFmt w:val="chineseCounting"/>
      <w:suff w:val="nothing"/>
      <w:lvlText w:val="第%1部分　"/>
      <w:lvlJc w:val="left"/>
      <w:rPr>
        <w:rFonts w:hint="eastAsia" w:ascii="宋体" w:hAnsi="宋体" w:eastAsia="宋体" w:cs="Times New Roman"/>
      </w:rPr>
    </w:lvl>
    <w:lvl w:ilvl="1" w:tentative="1">
      <w:start w:val="1"/>
      <w:numFmt w:val="decimal"/>
      <w:lvlText w:val="%2."/>
      <w:lvlJc w:val="left"/>
      <w:pPr>
        <w:tabs>
          <w:tab w:val="left" w:pos="1440"/>
        </w:tabs>
        <w:ind w:left="1440" w:hanging="360"/>
      </w:pPr>
      <w:rPr>
        <w:rFonts w:cs="Times New Roman"/>
      </w:rPr>
    </w:lvl>
    <w:lvl w:ilvl="2" w:tentative="1">
      <w:start w:val="1"/>
      <w:numFmt w:val="decimal"/>
      <w:lvlText w:val="%3."/>
      <w:lvlJc w:val="left"/>
      <w:pPr>
        <w:tabs>
          <w:tab w:val="left" w:pos="2160"/>
        </w:tabs>
        <w:ind w:left="2160" w:hanging="360"/>
      </w:pPr>
      <w:rPr>
        <w:rFonts w:cs="Times New Roman"/>
      </w:rPr>
    </w:lvl>
    <w:lvl w:ilvl="3" w:tentative="1">
      <w:start w:val="1"/>
      <w:numFmt w:val="decimal"/>
      <w:lvlText w:val="%4."/>
      <w:lvlJc w:val="left"/>
      <w:pPr>
        <w:tabs>
          <w:tab w:val="left" w:pos="2880"/>
        </w:tabs>
        <w:ind w:left="2880" w:hanging="360"/>
      </w:pPr>
      <w:rPr>
        <w:rFonts w:cs="Times New Roman"/>
      </w:rPr>
    </w:lvl>
    <w:lvl w:ilvl="4" w:tentative="1">
      <w:start w:val="1"/>
      <w:numFmt w:val="decimal"/>
      <w:lvlText w:val="%5."/>
      <w:lvlJc w:val="left"/>
      <w:pPr>
        <w:tabs>
          <w:tab w:val="left" w:pos="3600"/>
        </w:tabs>
        <w:ind w:left="3600" w:hanging="360"/>
      </w:pPr>
      <w:rPr>
        <w:rFonts w:cs="Times New Roman"/>
      </w:rPr>
    </w:lvl>
    <w:lvl w:ilvl="5" w:tentative="1">
      <w:start w:val="1"/>
      <w:numFmt w:val="decimal"/>
      <w:lvlText w:val="%6."/>
      <w:lvlJc w:val="left"/>
      <w:pPr>
        <w:tabs>
          <w:tab w:val="left" w:pos="4320"/>
        </w:tabs>
        <w:ind w:left="4320" w:hanging="360"/>
      </w:pPr>
      <w:rPr>
        <w:rFonts w:cs="Times New Roman"/>
      </w:rPr>
    </w:lvl>
    <w:lvl w:ilvl="6" w:tentative="1">
      <w:start w:val="1"/>
      <w:numFmt w:val="decimal"/>
      <w:lvlText w:val="%7."/>
      <w:lvlJc w:val="left"/>
      <w:pPr>
        <w:tabs>
          <w:tab w:val="left" w:pos="5040"/>
        </w:tabs>
        <w:ind w:left="5040" w:hanging="360"/>
      </w:pPr>
      <w:rPr>
        <w:rFonts w:cs="Times New Roman"/>
      </w:rPr>
    </w:lvl>
    <w:lvl w:ilvl="7" w:tentative="1">
      <w:start w:val="1"/>
      <w:numFmt w:val="decimal"/>
      <w:lvlText w:val="%8."/>
      <w:lvlJc w:val="left"/>
      <w:pPr>
        <w:tabs>
          <w:tab w:val="left" w:pos="5760"/>
        </w:tabs>
        <w:ind w:left="5760" w:hanging="360"/>
      </w:pPr>
      <w:rPr>
        <w:rFonts w:cs="Times New Roman"/>
      </w:rPr>
    </w:lvl>
    <w:lvl w:ilvl="8" w:tentative="1">
      <w:start w:val="1"/>
      <w:numFmt w:val="decimal"/>
      <w:lvlText w:val="%9."/>
      <w:lvlJc w:val="left"/>
      <w:pPr>
        <w:tabs>
          <w:tab w:val="left" w:pos="6480"/>
        </w:tabs>
        <w:ind w:left="6480" w:hanging="360"/>
      </w:pPr>
      <w:rPr>
        <w:rFonts w:cs="Times New Roman"/>
      </w:rPr>
    </w:lvl>
  </w:abstractNum>
  <w:num w:numId="1">
    <w:abstractNumId w:val="4"/>
    <w:lvlOverride w:ilvl="0">
      <w:startOverride w:val="1"/>
    </w:lvlOverride>
  </w:num>
  <w:num w:numId="2">
    <w:abstractNumId w:val="5"/>
    <w:lvlOverride w:ilvl="0">
      <w:startOverride w:val="1"/>
    </w:lvlOverride>
  </w:num>
  <w:num w:numId="3">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style w:type="paragraph" w:default="1" w:styleId="1">
    <w:name w:val="Normal"/>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tyle>
  <w:style w:type="paragraph" w:styleId="2">
    <w:name w:val="annotation text"/>
    <w:basedOn w:val="1"/>
    <w:link w:val="7"/>
    <w:pPr>
      <w:jc w:val="left"/>
    </w:pPr>
  </w:style>
  <w:style w:type="paragraph" w:styleId="3">
    <w:name w:val="footer"/>
    <w:basedOn w:val="1"/>
    <w:link w:val="8"/>
    <w:pPr>
      <w:tabs>
        <w:tab w:val="center" w:pos="4153"/>
        <w:tab w:val="right" w:pos="8306"/>
      </w:tabs>
      <w:snapToGrid w:val="0"/>
      <w:jc w:val="left"/>
    </w:pPr>
    <w:rPr>
      <w:sz w:val="18"/>
      <w:szCs w:val="18"/>
    </w:rPr>
  </w:style>
  <w:style w:type="paragraph" w:styleId="4">
    <w:name w:val="header"/>
    <w:basedOn w:val="1"/>
    <w:link w:val="9"/>
    <w:pPr>
      <w:pBdr>
        <w:top w:val="none" w:color="auto" w:sz="0" w:space="1"/>
        <w:left w:val="none" w:color="auto" w:sz="0" w:space="4"/>
        <w:bottom w:val="none" w:color="auto" w:sz="0" w:space="1"/>
        <w:right w:val="none" w:color="auto" w:sz="0" w:space="4"/>
      </w:pBdr>
      <w:tabs>
        <w:tab w:val="center" w:pos="4153"/>
        <w:tab w:val="right" w:pos="8306"/>
      </w:tabs>
      <w:snapToGrid w:val="0"/>
    </w:pPr>
    <w:rPr>
      <w:sz w:val="18"/>
      <w:szCs w:val="18"/>
    </w:rPr>
  </w:style>
  <w:style w:type="paragraph" w:customStyle="1" w:styleId="6">
    <w:name w:val="Normal (Web)"/>
    <w:basedOn w:val="1"/>
    <w:pPr>
      <w:spacing w:beforeAutospacing="1" w:afterAutospacing="1"/>
      <w:jc w:val="left"/>
    </w:pPr>
    <w:rPr>
      <w:kern w:val="0"/>
      <w:sz w:val="24"/>
    </w:rPr>
  </w:style>
  <w:style w:type="character" w:customStyle="1" w:styleId="7">
    <w:name w:val="Comment Text Char"/>
    <w:basedOn w:val="5"/>
    <w:link w:val="2"/>
    <w:semiHidden/>
    <w:rPr/>
  </w:style>
  <w:style w:type="character" w:customStyle="1" w:styleId="8">
    <w:name w:val="Footer Char"/>
    <w:basedOn w:val="5"/>
    <w:link w:val="3"/>
    <w:semiHidden/>
    <w:rPr>
      <w:sz w:val="18"/>
      <w:szCs w:val="18"/>
    </w:rPr>
  </w:style>
  <w:style w:type="character" w:customStyle="1" w:styleId="9">
    <w:name w:val="Header Char"/>
    <w:basedOn w:val="5"/>
    <w:link w:val="4"/>
    <w:semiHidden/>
    <w:rPr>
      <w:sz w:val="18"/>
      <w:szCs w:val="18"/>
    </w:rPr>
  </w:style>
  <w:style w:type="character" w:customStyle="1" w:styleId="10">
    <w:name w:val="font11"/>
    <w:basedOn w:val="5"/>
    <w:rPr>
      <w:rFonts w:ascii="宋体" w:hAnsi="宋体" w:eastAsia="宋体" w:cs="宋体"/>
      <w:color w:val="000000"/>
      <w:sz w:val="20"/>
      <w:szCs w:val="20"/>
      <w:u w:val="none"/>
    </w:rPr>
  </w:style>
  <w:style w:type="character" w:customStyle="1" w:styleId="11">
    <w:name w:val="font01"/>
    <w:basedOn w:val="5"/>
    <w:rPr>
      <w:rFonts w:ascii="宋体" w:hAnsi="宋体" w:eastAsia="宋体" w:cs="宋体"/>
      <w:color w:val="000000"/>
      <w:sz w:val="22"/>
      <w:szCs w:val="22"/>
      <w:u w:val="none"/>
    </w:rPr>
  </w:style>
  <w:style w:type="character" w:customStyle="1" w:styleId="12">
    <w:name w:val="font51"/>
    <w:basedOn w:val="5"/>
    <w:rPr>
      <w:rFonts w:ascii="宋体" w:hAnsi="宋体" w:eastAsia="宋体" w:cs="宋体"/>
      <w:color w:val="000000"/>
      <w:sz w:val="24"/>
      <w:szCs w:val="24"/>
      <w:u w:val="none"/>
    </w:rPr>
  </w:style>
  <w:style w:type="character" w:customStyle="1" w:styleId="13">
    <w:name w:val="font41"/>
    <w:basedOn w:val="5"/>
    <w:rPr>
      <w:rFonts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image" Target="media/image4.png"/><Relationship Id="rId11" Type="http://schemas.openxmlformats.org/officeDocument/2006/relationships/image" Target="media/image5.png"/><Relationship Id="rId12" Type="http://schemas.openxmlformats.org/officeDocument/2006/relationships/image" Target="media/image6.png"/><Relationship Id="rId13" Type="http://schemas.openxmlformats.org/officeDocument/2006/relationships/image" Target="media/image7.png"/><Relationship Id="rId14" Type="http://schemas.openxmlformats.org/officeDocument/2006/relationships/image" Target="media/image8.png"/><Relationship Id="rId15" Type="http://schemas.openxmlformats.org/officeDocument/2006/relationships/customXml" Target="../customXml/item1.xml"/><Relationship Id="rId16"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25</Pages>
  <Words>1421</Words>
  <Characters>8100</Characters>
  <Lines>0</Lines>
  <Paragraphs>0</Paragraphs>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2018-09-28T10:02:00Z</dcterms:created>
  <dc:creator>TZB</dc:creator>
  <cp:lastPrinted>2019-09-25T17:21:00Z</cp:lastPrinted>
  <dcterms:modified xsi:type="dcterms:W3CDTF">2021-06-09T11:44:42Z</dcterms:modified>
  <dc:title>Administrator</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y fmtid="{D5CDD505-2E9C-101B-9397-08002B2CF9AE}" pid="3" name="ICV">
    <vt:lpwstr>0DAB05A300C540A2AA1E2BAF9DD6C76D</vt:lpwstr>
  </property>
</Properties>
</file>