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jc w:val="center"/>
        <w:rPr>
          <w:rFonts w:hint="eastAsia" w:ascii="黑体" w:hAnsi="黑体" w:eastAsia="黑体" w:cs="黑体"/>
          <w:color w:val="auto"/>
          <w:sz w:val="52"/>
          <w:szCs w:val="52"/>
          <w:highlight w:val="none"/>
        </w:rPr>
      </w:pPr>
      <w:r>
        <w:rPr>
          <w:rFonts w:hint="eastAsia" w:ascii="黑体" w:hAnsi="黑体" w:eastAsia="黑体" w:cs="黑体"/>
          <w:color w:val="auto"/>
          <w:sz w:val="52"/>
          <w:szCs w:val="52"/>
          <w:highlight w:val="none"/>
          <w:lang w:eastAsia="zh-CN"/>
        </w:rPr>
        <w:t>2</w:t>
      </w:r>
      <w:r>
        <w:rPr>
          <w:rFonts w:hint="eastAsia" w:ascii="黑体" w:hAnsi="黑体" w:eastAsia="黑体" w:cs="黑体"/>
          <w:color w:val="auto"/>
          <w:sz w:val="52"/>
          <w:szCs w:val="52"/>
          <w:highlight w:val="none"/>
          <w:lang w:val="en-US" w:eastAsia="zh-CN"/>
        </w:rPr>
        <w:t>019</w:t>
      </w:r>
      <w:r>
        <w:rPr>
          <w:rFonts w:hint="eastAsia" w:ascii="黑体" w:hAnsi="黑体" w:eastAsia="黑体" w:cs="黑体"/>
          <w:color w:val="auto"/>
          <w:sz w:val="52"/>
          <w:szCs w:val="52"/>
          <w:highlight w:val="none"/>
          <w:lang w:eastAsia="zh-CN"/>
        </w:rPr>
        <w:t>年度</w:t>
      </w:r>
    </w:p>
    <w:p>
      <w:pPr>
        <w:jc w:val="center"/>
        <w:rPr>
          <w:rFonts w:hint="eastAsia" w:ascii="黑体" w:hAnsi="黑体" w:eastAsia="黑体" w:cs="黑体"/>
          <w:color w:val="auto"/>
          <w:sz w:val="52"/>
          <w:szCs w:val="52"/>
          <w:highlight w:val="none"/>
        </w:rPr>
      </w:pPr>
      <w:r>
        <w:rPr>
          <w:rFonts w:hint="eastAsia" w:ascii="黑体" w:hAnsi="黑体" w:eastAsia="黑体" w:cs="黑体"/>
          <w:color w:val="auto"/>
          <w:sz w:val="52"/>
          <w:szCs w:val="52"/>
          <w:highlight w:val="none"/>
          <w:lang w:eastAsia="zh-CN"/>
        </w:rPr>
        <w:t>湖滨区司法</w:t>
      </w:r>
      <w:r>
        <w:rPr>
          <w:rFonts w:hint="eastAsia" w:ascii="黑体" w:hAnsi="黑体" w:eastAsia="黑体" w:cs="黑体"/>
          <w:color w:val="auto"/>
          <w:sz w:val="52"/>
          <w:szCs w:val="52"/>
          <w:highlight w:val="none"/>
        </w:rPr>
        <w:t>局部门决算</w:t>
      </w:r>
    </w:p>
    <w:p>
      <w:pPr>
        <w:jc w:val="center"/>
        <w:rPr>
          <w:rFonts w:hint="eastAsia" w:ascii="黑体" w:hAnsi="黑体" w:eastAsia="黑体" w:cs="黑体"/>
          <w:color w:val="auto"/>
          <w:sz w:val="52"/>
          <w:szCs w:val="52"/>
          <w:highlight w:val="none"/>
        </w:rPr>
      </w:pPr>
    </w:p>
    <w:p>
      <w:pPr>
        <w:jc w:val="center"/>
        <w:rPr>
          <w:rFonts w:hint="eastAsia" w:ascii="黑体" w:hAnsi="黑体" w:eastAsia="黑体" w:cs="黑体"/>
          <w:color w:val="auto"/>
          <w:sz w:val="52"/>
          <w:szCs w:val="52"/>
          <w:highlight w:val="none"/>
        </w:rPr>
      </w:pPr>
    </w:p>
    <w:p>
      <w:pPr>
        <w:jc w:val="center"/>
        <w:rPr>
          <w:rFonts w:hint="eastAsia" w:ascii="黑体" w:hAnsi="黑体" w:eastAsia="黑体" w:cs="黑体"/>
          <w:color w:val="auto"/>
          <w:sz w:val="52"/>
          <w:szCs w:val="52"/>
          <w:highlight w:val="none"/>
        </w:rPr>
      </w:pPr>
    </w:p>
    <w:p>
      <w:pPr>
        <w:jc w:val="center"/>
        <w:rPr>
          <w:rFonts w:hint="eastAsia" w:ascii="黑体" w:hAnsi="黑体" w:eastAsia="黑体" w:cs="黑体"/>
          <w:color w:val="auto"/>
          <w:sz w:val="52"/>
          <w:szCs w:val="52"/>
          <w:highlight w:val="none"/>
        </w:rPr>
      </w:pPr>
    </w:p>
    <w:p>
      <w:pPr>
        <w:jc w:val="center"/>
        <w:rPr>
          <w:rFonts w:hint="eastAsia" w:ascii="黑体" w:hAnsi="黑体" w:eastAsia="黑体" w:cs="黑体"/>
          <w:color w:val="auto"/>
          <w:sz w:val="52"/>
          <w:szCs w:val="52"/>
          <w:highlight w:val="none"/>
        </w:rPr>
      </w:pPr>
    </w:p>
    <w:p>
      <w:pPr>
        <w:jc w:val="center"/>
        <w:rPr>
          <w:rFonts w:hint="eastAsia" w:ascii="黑体" w:hAnsi="黑体" w:eastAsia="黑体" w:cs="黑体"/>
          <w:color w:val="auto"/>
          <w:sz w:val="52"/>
          <w:szCs w:val="52"/>
          <w:highlight w:val="none"/>
        </w:rPr>
      </w:pPr>
    </w:p>
    <w:p>
      <w:pPr>
        <w:jc w:val="center"/>
        <w:sectPr>
          <w:pgSz w:w="11906" w:h="16838"/>
          <w:pgMar w:top="1440" w:right="1531" w:bottom="1440" w:left="1587" w:header="850" w:footer="992" w:gutter="0"/>
          <w:pgNumType w:fmt="numberInDash"/>
          <w:cols w:space="720" w:num="1"/>
          <w:rtlGutter w:val="0"/>
          <w:docGrid w:type="lines" w:linePitch="317"/>
        </w:sectPr>
      </w:pPr>
      <w:r>
        <w:rPr>
          <w:rFonts w:hint="eastAsia" w:ascii="黑体" w:hAnsi="黑体" w:eastAsia="黑体" w:cs="黑体"/>
          <w:color w:val="auto"/>
          <w:sz w:val="32"/>
          <w:szCs w:val="32"/>
          <w:highlight w:val="none"/>
          <w:lang w:eastAsia="zh-CN"/>
        </w:rPr>
        <w:t>二〇二〇年九月</w:t>
      </w:r>
    </w:p>
    <w:p>
      <w:pPr>
        <w:jc w:val="center"/>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目　　录</w:t>
      </w:r>
    </w:p>
    <w:p>
      <w:pPr>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第一部分　　</w:t>
      </w:r>
      <w:r>
        <w:rPr>
          <w:rFonts w:hint="eastAsia" w:ascii="黑体" w:hAnsi="黑体" w:eastAsia="黑体" w:cs="黑体"/>
          <w:color w:val="auto"/>
          <w:sz w:val="32"/>
          <w:szCs w:val="32"/>
          <w:highlight w:val="none"/>
          <w:lang w:eastAsia="zh-CN"/>
        </w:rPr>
        <w:t>湖滨区司法局</w:t>
      </w:r>
      <w:r>
        <w:rPr>
          <w:rFonts w:hint="eastAsia" w:ascii="黑体" w:hAnsi="黑体" w:eastAsia="黑体" w:cs="黑体"/>
          <w:color w:val="auto"/>
          <w:sz w:val="32"/>
          <w:szCs w:val="32"/>
          <w:highlight w:val="none"/>
        </w:rPr>
        <w:t>概况</w:t>
      </w:r>
    </w:p>
    <w:p>
      <w:pPr>
        <w:numPr>
          <w:ilvl w:val="0"/>
          <w:numId w:val="1"/>
        </w:numPr>
        <w:ind w:firstLine="640" w:firstLineChars="200"/>
        <w:jc w:val="left"/>
        <w:rPr>
          <w:rFonts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部门职责</w:t>
      </w:r>
    </w:p>
    <w:p>
      <w:pPr>
        <w:numPr>
          <w:ilvl w:val="0"/>
          <w:numId w:val="1"/>
        </w:numPr>
        <w:ind w:firstLine="640" w:firstLineChars="200"/>
        <w:jc w:val="left"/>
        <w:rPr>
          <w:rFonts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机构设置</w:t>
      </w:r>
    </w:p>
    <w:p>
      <w:pPr>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第</w:t>
      </w:r>
      <w:r>
        <w:rPr>
          <w:rFonts w:hint="eastAsia" w:ascii="黑体" w:hAnsi="黑体" w:eastAsia="黑体" w:cs="黑体"/>
          <w:color w:val="auto"/>
          <w:sz w:val="32"/>
          <w:szCs w:val="32"/>
          <w:highlight w:val="none"/>
          <w:lang w:eastAsia="zh-CN"/>
        </w:rPr>
        <w:t>二</w:t>
      </w:r>
      <w:r>
        <w:rPr>
          <w:rFonts w:hint="eastAsia" w:ascii="黑体" w:hAnsi="黑体" w:eastAsia="黑体" w:cs="黑体"/>
          <w:color w:val="auto"/>
          <w:sz w:val="32"/>
          <w:szCs w:val="32"/>
          <w:highlight w:val="none"/>
        </w:rPr>
        <w:t>部分　　</w:t>
      </w:r>
      <w:r>
        <w:rPr>
          <w:rFonts w:hint="eastAsia" w:ascii="黑体" w:hAnsi="黑体" w:eastAsia="黑体" w:cs="黑体"/>
          <w:color w:val="auto"/>
          <w:sz w:val="32"/>
          <w:szCs w:val="32"/>
          <w:highlight w:val="none"/>
          <w:lang w:eastAsia="zh-CN"/>
        </w:rPr>
        <w:t>201</w:t>
      </w:r>
      <w:r>
        <w:rPr>
          <w:rFonts w:hint="eastAsia" w:ascii="黑体" w:hAnsi="黑体" w:eastAsia="黑体" w:cs="黑体"/>
          <w:color w:val="auto"/>
          <w:sz w:val="32"/>
          <w:szCs w:val="32"/>
          <w:highlight w:val="none"/>
          <w:lang w:val="en-US" w:eastAsia="zh-CN"/>
        </w:rPr>
        <w:t>9</w:t>
      </w:r>
      <w:r>
        <w:rPr>
          <w:rFonts w:hint="eastAsia" w:ascii="黑体" w:hAnsi="黑体" w:eastAsia="黑体" w:cs="黑体"/>
          <w:color w:val="auto"/>
          <w:sz w:val="32"/>
          <w:szCs w:val="32"/>
          <w:highlight w:val="none"/>
          <w:lang w:eastAsia="zh-CN"/>
        </w:rPr>
        <w:t>年度</w:t>
      </w:r>
      <w:r>
        <w:rPr>
          <w:rFonts w:hint="eastAsia" w:ascii="黑体" w:hAnsi="黑体" w:eastAsia="黑体" w:cs="黑体"/>
          <w:color w:val="auto"/>
          <w:sz w:val="32"/>
          <w:szCs w:val="32"/>
          <w:highlight w:val="none"/>
        </w:rPr>
        <w:t>部门决算表</w:t>
      </w:r>
    </w:p>
    <w:p>
      <w:pPr>
        <w:ind w:firstLine="640" w:firstLineChars="200"/>
        <w:jc w:val="left"/>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一、收入支出决算总表</w:t>
      </w:r>
    </w:p>
    <w:p>
      <w:pPr>
        <w:ind w:firstLine="640" w:firstLineChars="200"/>
        <w:jc w:val="left"/>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二、收入决算表</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三、支出决算表</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四、财政拨款收入支出决算总表</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五、一般公共预算财政拨款支出决算表</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六、一般公共预算财政拨款基本支出决算表</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七、一般公共预算财政拨款“三公”经费支出决算表</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八、政府性基金预算财政拨款收入支出决算表</w:t>
      </w:r>
    </w:p>
    <w:p>
      <w:pPr>
        <w:jc w:val="left"/>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第</w:t>
      </w:r>
      <w:r>
        <w:rPr>
          <w:rFonts w:hint="eastAsia" w:ascii="黑体" w:hAnsi="黑体" w:eastAsia="黑体" w:cs="黑体"/>
          <w:color w:val="auto"/>
          <w:sz w:val="32"/>
          <w:szCs w:val="32"/>
          <w:highlight w:val="none"/>
          <w:lang w:eastAsia="zh-CN"/>
        </w:rPr>
        <w:t>三</w:t>
      </w:r>
      <w:r>
        <w:rPr>
          <w:rFonts w:hint="eastAsia" w:ascii="黑体" w:hAnsi="黑体" w:eastAsia="黑体" w:cs="黑体"/>
          <w:color w:val="auto"/>
          <w:sz w:val="32"/>
          <w:szCs w:val="32"/>
          <w:highlight w:val="none"/>
        </w:rPr>
        <w:t>部分　　</w:t>
      </w:r>
      <w:r>
        <w:rPr>
          <w:rFonts w:hint="eastAsia" w:ascii="黑体" w:hAnsi="黑体" w:eastAsia="黑体" w:cs="黑体"/>
          <w:color w:val="auto"/>
          <w:sz w:val="32"/>
          <w:szCs w:val="32"/>
          <w:highlight w:val="none"/>
          <w:lang w:eastAsia="zh-CN"/>
        </w:rPr>
        <w:t>201</w:t>
      </w:r>
      <w:r>
        <w:rPr>
          <w:rFonts w:hint="eastAsia" w:ascii="黑体" w:hAnsi="黑体" w:eastAsia="黑体" w:cs="黑体"/>
          <w:color w:val="auto"/>
          <w:sz w:val="32"/>
          <w:szCs w:val="32"/>
          <w:highlight w:val="none"/>
          <w:lang w:val="en-US" w:eastAsia="zh-CN"/>
        </w:rPr>
        <w:t>9</w:t>
      </w:r>
      <w:r>
        <w:rPr>
          <w:rFonts w:hint="eastAsia" w:ascii="黑体" w:hAnsi="黑体" w:eastAsia="黑体" w:cs="黑体"/>
          <w:color w:val="auto"/>
          <w:sz w:val="32"/>
          <w:szCs w:val="32"/>
          <w:highlight w:val="none"/>
          <w:lang w:eastAsia="zh-CN"/>
        </w:rPr>
        <w:t>年度</w:t>
      </w:r>
      <w:r>
        <w:rPr>
          <w:rFonts w:hint="eastAsia" w:ascii="黑体" w:hAnsi="黑体" w:eastAsia="黑体" w:cs="黑体"/>
          <w:color w:val="auto"/>
          <w:sz w:val="32"/>
          <w:szCs w:val="32"/>
          <w:highlight w:val="none"/>
        </w:rPr>
        <w:t>部门决算情况说明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一、收入支出决算总体情况说明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二、收入决算情况说明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三、支出决算情况说明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四、财政拨款收入支出决算总体情况说明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五、一般公共预算财政拨款支出决算情况说明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六、一般公共预算财政拨款基本支出决算情况说明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七、一般公共预算财政拨款“三公”经费支出决算情况说明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八、预算绩效情况说明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九、政府性基金预算财政拨款支出决算情况说明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十、机关运行经费支出情况</w:t>
      </w:r>
      <w:r>
        <w:rPr>
          <w:rFonts w:hint="eastAsia" w:ascii="宋体" w:hAnsi="宋体" w:eastAsia="宋体" w:cs="宋体"/>
          <w:color w:val="auto"/>
          <w:sz w:val="32"/>
          <w:szCs w:val="32"/>
          <w:highlight w:val="none"/>
          <w:lang w:eastAsia="zh-CN"/>
        </w:rPr>
        <w:t>说明</w:t>
      </w:r>
    </w:p>
    <w:p>
      <w:pPr>
        <w:ind w:firstLine="640" w:firstLineChars="200"/>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十一、</w:t>
      </w:r>
      <w:r>
        <w:rPr>
          <w:rFonts w:hint="eastAsia" w:ascii="宋体" w:hAnsi="宋体" w:eastAsia="宋体" w:cs="宋体"/>
          <w:color w:val="auto"/>
          <w:sz w:val="32"/>
          <w:szCs w:val="32"/>
          <w:highlight w:val="none"/>
        </w:rPr>
        <w:t>政府采购支出情况</w:t>
      </w:r>
      <w:r>
        <w:rPr>
          <w:rFonts w:hint="eastAsia" w:ascii="宋体" w:hAnsi="宋体" w:eastAsia="宋体" w:cs="宋体"/>
          <w:color w:val="auto"/>
          <w:sz w:val="32"/>
          <w:szCs w:val="32"/>
          <w:highlight w:val="none"/>
          <w:lang w:eastAsia="zh-CN"/>
        </w:rPr>
        <w:t>说明</w:t>
      </w:r>
    </w:p>
    <w:p>
      <w:pPr>
        <w:ind w:firstLine="640" w:firstLineChars="200"/>
        <w:jc w:val="left"/>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十二、国有资产占用情况说明</w:t>
      </w:r>
    </w:p>
    <w:p>
      <w:pPr>
        <w:jc w:val="left"/>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第</w:t>
      </w:r>
      <w:r>
        <w:rPr>
          <w:rFonts w:hint="eastAsia" w:ascii="黑体" w:hAnsi="黑体" w:eastAsia="黑体" w:cs="黑体"/>
          <w:color w:val="auto"/>
          <w:sz w:val="32"/>
          <w:szCs w:val="32"/>
          <w:highlight w:val="none"/>
          <w:lang w:eastAsia="zh-CN"/>
        </w:rPr>
        <w:t>四</w:t>
      </w:r>
      <w:r>
        <w:rPr>
          <w:rFonts w:hint="eastAsia" w:ascii="黑体" w:hAnsi="黑体" w:eastAsia="黑体" w:cs="黑体"/>
          <w:color w:val="auto"/>
          <w:sz w:val="32"/>
          <w:szCs w:val="32"/>
          <w:highlight w:val="none"/>
        </w:rPr>
        <w:t>部分　　名词解释</w:t>
      </w:r>
    </w:p>
    <w:p>
      <w:pPr>
        <w:ind w:firstLine="640" w:firstLineChars="200"/>
        <w:jc w:val="left"/>
        <w:rPr>
          <w:rFonts w:ascii="宋体" w:hAnsi="宋体" w:eastAsia="宋体" w:cs="宋体"/>
          <w:color w:val="auto"/>
          <w:sz w:val="32"/>
          <w:szCs w:val="32"/>
          <w:highlight w:val="none"/>
        </w:rPr>
      </w:pPr>
    </w:p>
    <w:p>
      <w:pPr>
        <w:jc w:val="left"/>
        <w:sectPr>
          <w:footerReference r:id="rId4" w:type="default"/>
          <w:footerReference r:id="rId5" w:type="even"/>
          <w:pgSz w:w="11906" w:h="16838"/>
          <w:pgMar w:top="1440" w:right="1531" w:bottom="1440" w:left="1587" w:header="850" w:footer="992" w:gutter="0"/>
          <w:pgNumType w:fmt="numberInDash" w:start="1"/>
          <w:cols w:space="720" w:num="1"/>
          <w:rtlGutter w:val="0"/>
          <w:docGrid w:type="lines" w:linePitch="317"/>
        </w:sect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center"/>
        <w:outlineLvl w:val="0"/>
        <w:rPr>
          <w:rFonts w:hint="eastAsia" w:ascii="黑体" w:hAnsi="宋体" w:eastAsia="黑体" w:cs="宋体"/>
          <w:color w:val="auto"/>
          <w:kern w:val="0"/>
          <w:sz w:val="28"/>
          <w:szCs w:val="28"/>
          <w:highlight w:val="none"/>
          <w:lang w:val="en-US" w:eastAsia="zh-CN"/>
        </w:rPr>
      </w:pPr>
      <w:r>
        <w:rPr>
          <w:rFonts w:hint="eastAsia" w:ascii="黑体" w:hAnsi="黑体" w:eastAsia="黑体" w:cs="黑体"/>
          <w:color w:val="auto"/>
          <w:sz w:val="48"/>
          <w:szCs w:val="48"/>
          <w:highlight w:val="none"/>
        </w:rPr>
        <w:t>第一部分</w:t>
      </w:r>
      <w:r>
        <w:rPr>
          <w:rFonts w:hint="eastAsia" w:ascii="黑体" w:hAnsi="黑体" w:eastAsia="黑体" w:cs="黑体"/>
          <w:color w:val="auto"/>
          <w:sz w:val="48"/>
          <w:szCs w:val="48"/>
          <w:highlight w:val="none"/>
          <w:lang w:val="en-US" w:eastAsia="zh-CN"/>
        </w:rPr>
        <w:t xml:space="preserve">  </w:t>
      </w:r>
      <w:r>
        <w:rPr>
          <w:rFonts w:hint="eastAsia" w:ascii="黑体" w:hAnsi="黑体" w:eastAsia="黑体" w:cs="黑体"/>
          <w:color w:val="auto"/>
          <w:sz w:val="48"/>
          <w:szCs w:val="48"/>
          <w:highlight w:val="none"/>
          <w:lang w:eastAsia="zh-CN"/>
        </w:rPr>
        <w:t>湖滨区司法局</w:t>
      </w:r>
      <w:r>
        <w:rPr>
          <w:rFonts w:hint="eastAsia" w:ascii="黑体" w:hAnsi="黑体" w:eastAsia="黑体" w:cs="黑体"/>
          <w:color w:val="auto"/>
          <w:sz w:val="48"/>
          <w:szCs w:val="48"/>
          <w:highlight w:val="none"/>
        </w:rPr>
        <w:t>概况</w:t>
      </w:r>
    </w:p>
    <w:p>
      <w:pPr>
        <w:widowControl/>
        <w:jc w:val="left"/>
        <w:rPr>
          <w:rFonts w:hint="eastAsia" w:ascii="黑体" w:hAnsi="宋体" w:eastAsia="黑体" w:cs="宋体"/>
          <w:color w:val="auto"/>
          <w:kern w:val="0"/>
          <w:sz w:val="28"/>
          <w:szCs w:val="28"/>
          <w:highlight w:val="none"/>
          <w:lang w:val="en-US" w:eastAsia="zh-CN"/>
        </w:rPr>
      </w:pPr>
    </w:p>
    <w:p>
      <w:pPr>
        <w:widowControl/>
        <w:jc w:val="left"/>
        <w:sectPr>
          <w:pgSz w:w="11906" w:h="16838"/>
          <w:pgMar w:top="1440" w:right="1800" w:bottom="1440" w:left="1800" w:header="720" w:footer="720" w:gutter="0"/>
          <w:pgNumType w:fmt="numberInDash"/>
          <w:cols w:space="720" w:num="1"/>
          <w:docGrid w:type="lines" w:linePitch="312"/>
        </w:sectPr>
      </w:pPr>
    </w:p>
    <w:p>
      <w:pPr>
        <w:widowControl/>
        <w:wordWrap/>
        <w:adjustRightInd/>
        <w:snapToGrid/>
        <w:spacing w:line="560" w:lineRule="exact"/>
        <w:ind w:firstLine="640" w:firstLineChars="200"/>
        <w:jc w:val="left"/>
        <w:textAlignment w:val="auto"/>
        <w:outlineLvl w:val="1"/>
        <w:rPr>
          <w:rFonts w:hint="eastAsia" w:ascii="黑体" w:hAnsi="黑体" w:eastAsia="黑体" w:cs="黑体"/>
          <w:color w:val="auto"/>
          <w:kern w:val="0"/>
          <w:sz w:val="32"/>
          <w:szCs w:val="32"/>
          <w:highlight w:val="none"/>
          <w:lang w:val="en-US" w:eastAsia="zh-CN"/>
        </w:rPr>
      </w:pPr>
      <w:r>
        <w:rPr>
          <w:rFonts w:hint="eastAsia" w:ascii="黑体" w:hAnsi="黑体" w:eastAsia="黑体" w:cs="黑体"/>
          <w:color w:val="auto"/>
          <w:kern w:val="0"/>
          <w:sz w:val="32"/>
          <w:szCs w:val="32"/>
          <w:highlight w:val="none"/>
          <w:lang w:val="en-US" w:eastAsia="zh-CN"/>
        </w:rPr>
        <w:t>一、部门</w:t>
      </w:r>
      <w:r>
        <w:rPr>
          <w:rFonts w:hint="eastAsia" w:ascii="黑体" w:hAnsi="黑体" w:eastAsia="黑体" w:cs="黑体"/>
          <w:bCs/>
          <w:sz w:val="32"/>
          <w:szCs w:val="32"/>
        </w:rPr>
        <w:t>职责</w:t>
      </w:r>
    </w:p>
    <w:p>
      <w:pPr>
        <w:wordWrap/>
        <w:adjustRightInd/>
        <w:snapToGrid/>
        <w:spacing w:line="560" w:lineRule="exact"/>
        <w:ind w:firstLine="640" w:firstLineChars="200"/>
        <w:jc w:val="left"/>
        <w:textAlignment w:val="auto"/>
        <w:rPr>
          <w:rFonts w:ascii="仿宋_GB2312" w:eastAsia="仿宋_GB2312"/>
          <w:sz w:val="32"/>
          <w:szCs w:val="32"/>
        </w:rPr>
      </w:pPr>
      <w:r>
        <w:rPr>
          <w:rFonts w:hint="eastAsia" w:ascii="仿宋_GB2312" w:eastAsia="仿宋_GB2312"/>
          <w:sz w:val="32"/>
          <w:szCs w:val="32"/>
          <w:lang w:eastAsia="zh-CN"/>
        </w:rPr>
        <w:t>湖滨区</w:t>
      </w:r>
      <w:r>
        <w:rPr>
          <w:rFonts w:hint="eastAsia" w:ascii="仿宋_GB2312" w:eastAsia="仿宋_GB2312"/>
          <w:sz w:val="32"/>
          <w:szCs w:val="32"/>
        </w:rPr>
        <w:t>司法局贯彻落实党中央关于全面依法治国的方针政策和决策部署，在履行职责过程中坚持和加强党对全面依法治国的集中统一领导。主要职责是：</w:t>
      </w:r>
    </w:p>
    <w:p>
      <w:pPr>
        <w:spacing w:line="432" w:lineRule="auto"/>
        <w:ind w:firstLine="640" w:firstLineChars="200"/>
        <w:jc w:val="left"/>
        <w:rPr>
          <w:rFonts w:hint="eastAsia" w:ascii="仿宋_GB2312" w:eastAsia="仿宋_GB2312"/>
          <w:sz w:val="32"/>
          <w:szCs w:val="32"/>
        </w:rPr>
      </w:pPr>
      <w:r>
        <w:rPr>
          <w:rFonts w:hint="eastAsia" w:ascii="仿宋_GB2312" w:eastAsia="仿宋_GB2312"/>
          <w:sz w:val="32"/>
          <w:szCs w:val="32"/>
        </w:rPr>
        <w:t>（一）承担全面依法治</w:t>
      </w:r>
      <w:r>
        <w:rPr>
          <w:rFonts w:hint="eastAsia" w:ascii="仿宋_GB2312" w:eastAsia="仿宋_GB2312"/>
          <w:sz w:val="32"/>
          <w:szCs w:val="32"/>
          <w:lang w:eastAsia="zh-CN"/>
        </w:rPr>
        <w:t>区</w:t>
      </w:r>
      <w:r>
        <w:rPr>
          <w:rFonts w:hint="eastAsia" w:ascii="仿宋_GB2312" w:eastAsia="仿宋_GB2312"/>
          <w:sz w:val="32"/>
          <w:szCs w:val="32"/>
        </w:rPr>
        <w:t>重大问题政策研究</w:t>
      </w:r>
      <w:r>
        <w:rPr>
          <w:rFonts w:hint="eastAsia" w:ascii="仿宋_GB2312" w:eastAsia="仿宋_GB2312"/>
          <w:sz w:val="32"/>
          <w:szCs w:val="32"/>
          <w:lang w:eastAsia="zh-CN"/>
        </w:rPr>
        <w:t>。</w:t>
      </w:r>
      <w:r>
        <w:rPr>
          <w:rFonts w:hint="eastAsia" w:ascii="仿宋_GB2312" w:eastAsia="仿宋_GB2312"/>
          <w:sz w:val="32"/>
          <w:szCs w:val="32"/>
        </w:rPr>
        <w:t>协调有关方面提出全面依法治</w:t>
      </w:r>
      <w:r>
        <w:rPr>
          <w:rFonts w:hint="eastAsia" w:ascii="仿宋_GB2312" w:eastAsia="仿宋_GB2312"/>
          <w:sz w:val="32"/>
          <w:szCs w:val="32"/>
          <w:lang w:eastAsia="zh-CN"/>
        </w:rPr>
        <w:t>区</w:t>
      </w:r>
      <w:r>
        <w:rPr>
          <w:rFonts w:hint="eastAsia" w:ascii="仿宋_GB2312" w:eastAsia="仿宋_GB2312"/>
          <w:sz w:val="32"/>
          <w:szCs w:val="32"/>
        </w:rPr>
        <w:t>中长期规划建议</w:t>
      </w:r>
      <w:r>
        <w:rPr>
          <w:rFonts w:hint="eastAsia" w:ascii="仿宋_GB2312" w:eastAsia="仿宋_GB2312"/>
          <w:sz w:val="32"/>
          <w:szCs w:val="32"/>
          <w:lang w:eastAsia="zh-CN"/>
        </w:rPr>
        <w:t>。</w:t>
      </w:r>
      <w:r>
        <w:rPr>
          <w:rFonts w:hint="eastAsia" w:ascii="仿宋_GB2312" w:eastAsia="仿宋_GB2312"/>
          <w:sz w:val="32"/>
          <w:szCs w:val="32"/>
        </w:rPr>
        <w:t>负责有关重大决策部署督察工作。</w:t>
      </w:r>
    </w:p>
    <w:p>
      <w:pPr>
        <w:spacing w:line="432" w:lineRule="auto"/>
        <w:ind w:firstLine="640" w:firstLineChars="200"/>
        <w:jc w:val="left"/>
        <w:rPr>
          <w:rFonts w:hint="eastAsia" w:ascii="仿宋" w:hAnsi="仿宋" w:eastAsia="仿宋" w:cs="仿宋"/>
          <w:sz w:val="32"/>
          <w:szCs w:val="32"/>
        </w:rPr>
      </w:pPr>
      <w:r>
        <w:rPr>
          <w:rFonts w:hint="eastAsia" w:ascii="仿宋_GB2312" w:hAnsi="仿宋_GB2312" w:eastAsia="仿宋_GB2312" w:cs="仿宋_GB2312"/>
          <w:sz w:val="32"/>
          <w:szCs w:val="32"/>
        </w:rPr>
        <w:t>（二）承担区政府规范性文件向市政府和区人大常委会备案工作。承担各乡政府、街道办事处和区政府各部门规范性文件备案审查工作。负责、指导全区政府规范性文件清理工作。</w:t>
      </w:r>
      <w:r>
        <w:rPr>
          <w:rFonts w:hint="eastAsia" w:ascii="仿宋_GB2312" w:eastAsia="仿宋_GB2312"/>
          <w:sz w:val="32"/>
          <w:szCs w:val="32"/>
        </w:rPr>
        <w:t>承担本部门、本系统行政复议、应诉工作。</w:t>
      </w:r>
    </w:p>
    <w:p>
      <w:pPr>
        <w:spacing w:line="432" w:lineRule="auto"/>
        <w:ind w:firstLine="640" w:firstLineChars="200"/>
        <w:jc w:val="left"/>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三</w:t>
      </w:r>
      <w:r>
        <w:rPr>
          <w:rFonts w:hint="eastAsia" w:ascii="仿宋_GB2312" w:eastAsia="仿宋_GB2312"/>
          <w:sz w:val="32"/>
          <w:szCs w:val="32"/>
        </w:rPr>
        <w:t>）承担</w:t>
      </w:r>
      <w:r>
        <w:rPr>
          <w:rFonts w:hint="eastAsia" w:ascii="仿宋_GB2312" w:eastAsia="仿宋_GB2312"/>
          <w:sz w:val="32"/>
          <w:szCs w:val="32"/>
          <w:lang w:eastAsia="zh-CN"/>
        </w:rPr>
        <w:t>区</w:t>
      </w:r>
      <w:r>
        <w:rPr>
          <w:rFonts w:hint="eastAsia" w:ascii="仿宋_GB2312" w:eastAsia="仿宋_GB2312"/>
          <w:sz w:val="32"/>
          <w:szCs w:val="32"/>
        </w:rPr>
        <w:t>政府交办的法律事务。负责</w:t>
      </w:r>
      <w:r>
        <w:rPr>
          <w:rFonts w:hint="eastAsia" w:ascii="仿宋_GB2312" w:eastAsia="仿宋_GB2312"/>
          <w:sz w:val="32"/>
          <w:szCs w:val="32"/>
          <w:lang w:eastAsia="zh-CN"/>
        </w:rPr>
        <w:t>区</w:t>
      </w:r>
      <w:r>
        <w:rPr>
          <w:rFonts w:hint="eastAsia" w:ascii="仿宋_GB2312" w:eastAsia="仿宋_GB2312"/>
          <w:sz w:val="32"/>
          <w:szCs w:val="32"/>
        </w:rPr>
        <w:t>政府涉法重大决策和重要事务合法性审查，负责对以</w:t>
      </w:r>
      <w:r>
        <w:rPr>
          <w:rFonts w:hint="eastAsia" w:ascii="仿宋_GB2312" w:eastAsia="仿宋_GB2312"/>
          <w:sz w:val="32"/>
          <w:szCs w:val="32"/>
          <w:lang w:eastAsia="zh-CN"/>
        </w:rPr>
        <w:t>区</w:t>
      </w:r>
      <w:r>
        <w:rPr>
          <w:rFonts w:hint="eastAsia" w:ascii="仿宋_GB2312" w:eastAsia="仿宋_GB2312"/>
          <w:sz w:val="32"/>
          <w:szCs w:val="32"/>
        </w:rPr>
        <w:t>政府名义制发的重要规范性文件的合法性审查。推进全</w:t>
      </w:r>
      <w:r>
        <w:rPr>
          <w:rFonts w:hint="eastAsia" w:ascii="仿宋_GB2312" w:eastAsia="仿宋_GB2312"/>
          <w:sz w:val="32"/>
          <w:szCs w:val="32"/>
          <w:lang w:eastAsia="zh-CN"/>
        </w:rPr>
        <w:t>区</w:t>
      </w:r>
      <w:r>
        <w:rPr>
          <w:rFonts w:hint="eastAsia" w:ascii="仿宋_GB2312" w:eastAsia="仿宋_GB2312"/>
          <w:sz w:val="32"/>
          <w:szCs w:val="32"/>
        </w:rPr>
        <w:t>法律顾问工作。</w:t>
      </w:r>
    </w:p>
    <w:p>
      <w:pPr>
        <w:spacing w:line="432" w:lineRule="auto"/>
        <w:ind w:firstLine="640" w:firstLineChars="200"/>
        <w:jc w:val="left"/>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四</w:t>
      </w:r>
      <w:r>
        <w:rPr>
          <w:rFonts w:hint="eastAsia" w:ascii="仿宋_GB2312" w:eastAsia="仿宋_GB2312"/>
          <w:sz w:val="32"/>
          <w:szCs w:val="32"/>
        </w:rPr>
        <w:t>）指导</w:t>
      </w:r>
      <w:r>
        <w:rPr>
          <w:rFonts w:hint="eastAsia" w:ascii="仿宋_GB2312" w:eastAsia="仿宋_GB2312"/>
          <w:sz w:val="32"/>
          <w:szCs w:val="32"/>
          <w:lang w:eastAsia="zh-CN"/>
        </w:rPr>
        <w:t>、监督、</w:t>
      </w:r>
      <w:r>
        <w:rPr>
          <w:rFonts w:hint="eastAsia" w:ascii="仿宋_GB2312" w:eastAsia="仿宋_GB2312"/>
          <w:sz w:val="32"/>
          <w:szCs w:val="32"/>
        </w:rPr>
        <w:t>管理全</w:t>
      </w:r>
      <w:r>
        <w:rPr>
          <w:rFonts w:hint="eastAsia" w:ascii="仿宋_GB2312" w:eastAsia="仿宋_GB2312"/>
          <w:sz w:val="32"/>
          <w:szCs w:val="32"/>
          <w:lang w:eastAsia="zh-CN"/>
        </w:rPr>
        <w:t>区</w:t>
      </w:r>
      <w:r>
        <w:rPr>
          <w:rFonts w:hint="eastAsia" w:ascii="仿宋_GB2312" w:eastAsia="仿宋_GB2312"/>
          <w:sz w:val="32"/>
          <w:szCs w:val="32"/>
        </w:rPr>
        <w:t>社区矫正工作，</w:t>
      </w:r>
      <w:r>
        <w:rPr>
          <w:rFonts w:hint="eastAsia" w:ascii="仿宋_GB2312" w:eastAsia="仿宋_GB2312"/>
          <w:sz w:val="32"/>
          <w:szCs w:val="32"/>
          <w:lang w:eastAsia="zh-CN"/>
        </w:rPr>
        <w:t>组织、</w:t>
      </w:r>
      <w:r>
        <w:rPr>
          <w:rFonts w:hint="eastAsia" w:ascii="仿宋_GB2312" w:eastAsia="仿宋_GB2312"/>
          <w:sz w:val="32"/>
          <w:szCs w:val="32"/>
        </w:rPr>
        <w:t>指导社会力量和志愿者参与社区矫正工作。指导</w:t>
      </w:r>
      <w:r>
        <w:rPr>
          <w:rFonts w:hint="eastAsia" w:ascii="仿宋_GB2312" w:eastAsia="仿宋_GB2312"/>
          <w:sz w:val="32"/>
          <w:szCs w:val="32"/>
          <w:lang w:eastAsia="zh-CN"/>
        </w:rPr>
        <w:t>、监督、</w:t>
      </w:r>
      <w:r>
        <w:rPr>
          <w:rFonts w:hint="eastAsia" w:ascii="仿宋_GB2312" w:eastAsia="仿宋_GB2312"/>
          <w:sz w:val="32"/>
          <w:szCs w:val="32"/>
        </w:rPr>
        <w:t>管理刑满释放人员安置帮教工作</w:t>
      </w:r>
      <w:r>
        <w:rPr>
          <w:rFonts w:hint="eastAsia" w:ascii="仿宋_GB2312" w:eastAsia="仿宋_GB2312"/>
          <w:sz w:val="32"/>
          <w:szCs w:val="32"/>
          <w:lang w:eastAsia="zh-CN"/>
        </w:rPr>
        <w:t>，组织、</w:t>
      </w:r>
      <w:r>
        <w:rPr>
          <w:rFonts w:hint="eastAsia" w:ascii="仿宋_GB2312" w:eastAsia="仿宋_GB2312"/>
          <w:sz w:val="32"/>
          <w:szCs w:val="32"/>
        </w:rPr>
        <w:t>指导社会力量和志愿者参与</w:t>
      </w:r>
      <w:r>
        <w:rPr>
          <w:rFonts w:hint="eastAsia" w:ascii="仿宋_GB2312" w:eastAsia="仿宋_GB2312"/>
          <w:sz w:val="32"/>
          <w:szCs w:val="32"/>
          <w:lang w:eastAsia="zh-CN"/>
        </w:rPr>
        <w:t>安置帮教</w:t>
      </w:r>
      <w:r>
        <w:rPr>
          <w:rFonts w:hint="eastAsia" w:ascii="仿宋_GB2312" w:eastAsia="仿宋_GB2312"/>
          <w:sz w:val="32"/>
          <w:szCs w:val="32"/>
        </w:rPr>
        <w:t>工作。</w:t>
      </w:r>
    </w:p>
    <w:p>
      <w:pPr>
        <w:spacing w:line="432" w:lineRule="auto"/>
        <w:ind w:firstLine="640" w:firstLineChars="200"/>
        <w:jc w:val="left"/>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五</w:t>
      </w:r>
      <w:r>
        <w:rPr>
          <w:rFonts w:hint="eastAsia" w:ascii="仿宋_GB2312" w:eastAsia="仿宋_GB2312"/>
          <w:sz w:val="32"/>
          <w:szCs w:val="32"/>
        </w:rPr>
        <w:t>）承担统筹推进法治政府建设责任。负责推进全</w:t>
      </w:r>
      <w:r>
        <w:rPr>
          <w:rFonts w:hint="eastAsia" w:ascii="仿宋_GB2312" w:eastAsia="仿宋_GB2312"/>
          <w:sz w:val="32"/>
          <w:szCs w:val="32"/>
          <w:lang w:eastAsia="zh-CN"/>
        </w:rPr>
        <w:t>区</w:t>
      </w:r>
      <w:r>
        <w:rPr>
          <w:rFonts w:hint="eastAsia" w:ascii="仿宋_GB2312" w:eastAsia="仿宋_GB2312"/>
          <w:sz w:val="32"/>
          <w:szCs w:val="32"/>
        </w:rPr>
        <w:t>依法行政、建设法治政府方面的统筹规划、综合协调、督促指导、考核评价工作。指导监督</w:t>
      </w:r>
      <w:r>
        <w:rPr>
          <w:rFonts w:hint="eastAsia" w:ascii="仿宋_GB2312" w:eastAsia="仿宋_GB2312"/>
          <w:sz w:val="32"/>
          <w:szCs w:val="32"/>
          <w:lang w:eastAsia="zh-CN"/>
        </w:rPr>
        <w:t>区</w:t>
      </w:r>
      <w:r>
        <w:rPr>
          <w:rFonts w:hint="eastAsia" w:ascii="仿宋_GB2312" w:eastAsia="仿宋_GB2312"/>
          <w:sz w:val="32"/>
          <w:szCs w:val="32"/>
        </w:rPr>
        <w:t>政府各部门、</w:t>
      </w:r>
      <w:r>
        <w:rPr>
          <w:rFonts w:hint="eastAsia" w:ascii="仿宋_GB2312" w:eastAsia="仿宋_GB2312"/>
          <w:sz w:val="32"/>
          <w:szCs w:val="32"/>
          <w:lang w:eastAsia="zh-CN"/>
        </w:rPr>
        <w:t>各乡</w:t>
      </w:r>
      <w:r>
        <w:rPr>
          <w:rFonts w:hint="eastAsia" w:ascii="仿宋_GB2312" w:eastAsia="仿宋_GB2312"/>
          <w:sz w:val="32"/>
          <w:szCs w:val="32"/>
        </w:rPr>
        <w:t>政府</w:t>
      </w:r>
      <w:r>
        <w:rPr>
          <w:rFonts w:hint="eastAsia" w:ascii="仿宋_GB2312" w:eastAsia="仿宋_GB2312"/>
          <w:sz w:val="32"/>
          <w:szCs w:val="32"/>
          <w:lang w:eastAsia="zh-CN"/>
        </w:rPr>
        <w:t>、街道办事处</w:t>
      </w:r>
      <w:r>
        <w:rPr>
          <w:rFonts w:hint="eastAsia" w:ascii="仿宋_GB2312" w:eastAsia="仿宋_GB2312"/>
          <w:sz w:val="32"/>
          <w:szCs w:val="32"/>
        </w:rPr>
        <w:t>依法行政工作。</w:t>
      </w:r>
    </w:p>
    <w:p>
      <w:pPr>
        <w:spacing w:line="432" w:lineRule="auto"/>
        <w:ind w:firstLine="640" w:firstLineChars="200"/>
        <w:jc w:val="left"/>
        <w:rPr>
          <w:rFonts w:hint="eastAsia" w:ascii="仿宋_GB2312" w:eastAsia="仿宋_GB2312"/>
          <w:sz w:val="32"/>
          <w:szCs w:val="32"/>
          <w:u w:val="none" w:color="auto"/>
        </w:rPr>
      </w:pPr>
      <w:r>
        <w:rPr>
          <w:rFonts w:hint="eastAsia" w:ascii="仿宋_GB2312" w:eastAsia="仿宋_GB2312"/>
          <w:sz w:val="32"/>
          <w:szCs w:val="32"/>
        </w:rPr>
        <w:t>（</w:t>
      </w:r>
      <w:r>
        <w:rPr>
          <w:rFonts w:hint="eastAsia" w:ascii="仿宋_GB2312" w:eastAsia="仿宋_GB2312"/>
          <w:sz w:val="32"/>
          <w:szCs w:val="32"/>
          <w:lang w:eastAsia="zh-CN"/>
        </w:rPr>
        <w:t>六</w:t>
      </w:r>
      <w:r>
        <w:rPr>
          <w:rFonts w:hint="eastAsia" w:ascii="仿宋_GB2312" w:eastAsia="仿宋_GB2312"/>
          <w:sz w:val="32"/>
          <w:szCs w:val="32"/>
        </w:rPr>
        <w:t>）负责综合协调、指导监督全</w:t>
      </w:r>
      <w:r>
        <w:rPr>
          <w:rFonts w:hint="eastAsia" w:ascii="仿宋_GB2312" w:eastAsia="仿宋_GB2312"/>
          <w:sz w:val="32"/>
          <w:szCs w:val="32"/>
          <w:lang w:eastAsia="zh-CN"/>
        </w:rPr>
        <w:t>区</w:t>
      </w:r>
      <w:r>
        <w:rPr>
          <w:rFonts w:hint="eastAsia" w:ascii="仿宋_GB2312" w:eastAsia="仿宋_GB2312"/>
          <w:sz w:val="32"/>
          <w:szCs w:val="32"/>
        </w:rPr>
        <w:t>行政执法工作。研究完善规范行政执法有关制度，推进严格规范公正文明执法。负责推进服务型行政执法建设，全面落实行政执法责任制。承担推进行政执法体制改革有关工作。负责全</w:t>
      </w:r>
      <w:r>
        <w:rPr>
          <w:rFonts w:hint="eastAsia" w:ascii="仿宋_GB2312" w:eastAsia="仿宋_GB2312"/>
          <w:sz w:val="32"/>
          <w:szCs w:val="32"/>
          <w:lang w:eastAsia="zh-CN"/>
        </w:rPr>
        <w:t>区</w:t>
      </w:r>
      <w:r>
        <w:rPr>
          <w:rFonts w:hint="eastAsia" w:ascii="仿宋_GB2312" w:eastAsia="仿宋_GB2312"/>
          <w:sz w:val="32"/>
          <w:szCs w:val="32"/>
        </w:rPr>
        <w:t>行政执法主体和行政执法人员资格管理。</w:t>
      </w:r>
      <w:r>
        <w:rPr>
          <w:rFonts w:hint="eastAsia" w:ascii="仿宋_GB2312" w:eastAsia="仿宋_GB2312"/>
          <w:sz w:val="32"/>
          <w:szCs w:val="32"/>
          <w:u w:val="none" w:color="auto"/>
        </w:rPr>
        <w:t>负责指导行政裁决工作。</w:t>
      </w:r>
    </w:p>
    <w:p>
      <w:pPr>
        <w:spacing w:line="432" w:lineRule="auto"/>
        <w:ind w:firstLine="640" w:firstLineChars="200"/>
        <w:jc w:val="left"/>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七</w:t>
      </w:r>
      <w:r>
        <w:rPr>
          <w:rFonts w:hint="eastAsia" w:ascii="仿宋_GB2312" w:eastAsia="仿宋_GB2312"/>
          <w:sz w:val="32"/>
          <w:szCs w:val="32"/>
        </w:rPr>
        <w:t>）承担统筹规划法治社会建设责任。负责拟订全</w:t>
      </w:r>
      <w:r>
        <w:rPr>
          <w:rFonts w:hint="eastAsia" w:ascii="仿宋_GB2312" w:eastAsia="仿宋_GB2312"/>
          <w:sz w:val="32"/>
          <w:szCs w:val="32"/>
          <w:lang w:eastAsia="zh-CN"/>
        </w:rPr>
        <w:t>区</w:t>
      </w:r>
      <w:r>
        <w:rPr>
          <w:rFonts w:hint="eastAsia" w:ascii="仿宋_GB2312" w:eastAsia="仿宋_GB2312"/>
          <w:sz w:val="32"/>
          <w:szCs w:val="32"/>
        </w:rPr>
        <w:t>法治宣传教育规划，组织实施普法宣传工作。推动人民参与和促进法治建设。指导全</w:t>
      </w:r>
      <w:r>
        <w:rPr>
          <w:rFonts w:hint="eastAsia" w:ascii="仿宋_GB2312" w:eastAsia="仿宋_GB2312"/>
          <w:sz w:val="32"/>
          <w:szCs w:val="32"/>
          <w:lang w:eastAsia="zh-CN"/>
        </w:rPr>
        <w:t>区</w:t>
      </w:r>
      <w:r>
        <w:rPr>
          <w:rFonts w:hint="eastAsia" w:ascii="仿宋_GB2312" w:eastAsia="仿宋_GB2312"/>
          <w:sz w:val="32"/>
          <w:szCs w:val="32"/>
        </w:rPr>
        <w:t>依法治理和法治创建工作。指导全</w:t>
      </w:r>
      <w:r>
        <w:rPr>
          <w:rFonts w:hint="eastAsia" w:ascii="仿宋_GB2312" w:eastAsia="仿宋_GB2312"/>
          <w:sz w:val="32"/>
          <w:szCs w:val="32"/>
          <w:lang w:eastAsia="zh-CN"/>
        </w:rPr>
        <w:t>区</w:t>
      </w:r>
      <w:r>
        <w:rPr>
          <w:rFonts w:hint="eastAsia" w:ascii="仿宋_GB2312" w:eastAsia="仿宋_GB2312"/>
          <w:sz w:val="32"/>
          <w:szCs w:val="32"/>
        </w:rPr>
        <w:t>人民调解、行政调解、行业性专业性调解工作和人民陪审员、人民监督员选任管理工作。推进司法所建设。</w:t>
      </w:r>
    </w:p>
    <w:p>
      <w:pPr>
        <w:spacing w:line="432" w:lineRule="auto"/>
        <w:ind w:firstLine="640" w:firstLineChars="200"/>
        <w:jc w:val="left"/>
        <w:rPr>
          <w:rFonts w:hint="eastAsia"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负责</w:t>
      </w:r>
      <w:r>
        <w:rPr>
          <w:rFonts w:hint="eastAsia" w:ascii="仿宋_GB2312" w:eastAsia="仿宋_GB2312"/>
          <w:sz w:val="32"/>
          <w:szCs w:val="32"/>
        </w:rPr>
        <w:t>拟订全</w:t>
      </w:r>
      <w:r>
        <w:rPr>
          <w:rFonts w:hint="eastAsia" w:ascii="仿宋_GB2312" w:eastAsia="仿宋_GB2312"/>
          <w:sz w:val="32"/>
          <w:szCs w:val="32"/>
          <w:lang w:eastAsia="zh-CN"/>
        </w:rPr>
        <w:t>区</w:t>
      </w:r>
      <w:r>
        <w:rPr>
          <w:rFonts w:hint="eastAsia" w:ascii="仿宋_GB2312" w:eastAsia="仿宋_GB2312"/>
          <w:sz w:val="32"/>
          <w:szCs w:val="32"/>
        </w:rPr>
        <w:t>公共法律服务体系建设规划并指导实施。统筹和布局全</w:t>
      </w:r>
      <w:r>
        <w:rPr>
          <w:rFonts w:hint="eastAsia" w:ascii="仿宋_GB2312" w:eastAsia="仿宋_GB2312"/>
          <w:sz w:val="32"/>
          <w:szCs w:val="32"/>
          <w:lang w:eastAsia="zh-CN"/>
        </w:rPr>
        <w:t>区</w:t>
      </w:r>
      <w:r>
        <w:rPr>
          <w:rFonts w:hint="eastAsia" w:ascii="仿宋_GB2312" w:eastAsia="仿宋_GB2312"/>
          <w:sz w:val="32"/>
          <w:szCs w:val="32"/>
        </w:rPr>
        <w:t>城乡、区域法律服务资源。指导</w:t>
      </w:r>
      <w:r>
        <w:rPr>
          <w:rFonts w:hint="eastAsia" w:ascii="仿宋_GB2312" w:eastAsia="仿宋_GB2312"/>
          <w:sz w:val="32"/>
          <w:szCs w:val="32"/>
          <w:lang w:eastAsia="zh-CN"/>
        </w:rPr>
        <w:t>、</w:t>
      </w:r>
      <w:r>
        <w:rPr>
          <w:rFonts w:hint="eastAsia" w:ascii="仿宋_GB2312" w:eastAsia="仿宋_GB2312"/>
          <w:sz w:val="32"/>
          <w:szCs w:val="32"/>
        </w:rPr>
        <w:t>监督</w:t>
      </w:r>
      <w:r>
        <w:rPr>
          <w:rFonts w:hint="eastAsia" w:ascii="仿宋_GB2312" w:eastAsia="仿宋_GB2312"/>
          <w:sz w:val="32"/>
          <w:szCs w:val="32"/>
          <w:lang w:eastAsia="zh-CN"/>
        </w:rPr>
        <w:t>、管理</w:t>
      </w:r>
      <w:r>
        <w:rPr>
          <w:rFonts w:hint="eastAsia" w:ascii="仿宋_GB2312" w:eastAsia="仿宋_GB2312"/>
          <w:sz w:val="32"/>
          <w:szCs w:val="32"/>
        </w:rPr>
        <w:t>全</w:t>
      </w:r>
      <w:r>
        <w:rPr>
          <w:rFonts w:hint="eastAsia" w:ascii="仿宋_GB2312" w:eastAsia="仿宋_GB2312"/>
          <w:sz w:val="32"/>
          <w:szCs w:val="32"/>
          <w:lang w:eastAsia="zh-CN"/>
        </w:rPr>
        <w:t>区</w:t>
      </w:r>
      <w:r>
        <w:rPr>
          <w:rFonts w:hint="eastAsia" w:ascii="仿宋_GB2312" w:eastAsia="仿宋_GB2312"/>
          <w:sz w:val="32"/>
          <w:szCs w:val="32"/>
        </w:rPr>
        <w:t>律师、法律援助、</w:t>
      </w:r>
      <w:r>
        <w:rPr>
          <w:rFonts w:hint="eastAsia" w:ascii="仿宋_GB2312" w:eastAsia="仿宋_GB2312"/>
          <w:sz w:val="32"/>
          <w:szCs w:val="32"/>
          <w:u w:val="none" w:color="auto"/>
        </w:rPr>
        <w:t>司法鉴定、公证、仲裁</w:t>
      </w:r>
      <w:r>
        <w:rPr>
          <w:rFonts w:hint="eastAsia" w:ascii="仿宋_GB2312" w:eastAsia="仿宋_GB2312"/>
          <w:sz w:val="32"/>
          <w:szCs w:val="32"/>
        </w:rPr>
        <w:t>和基层法律服务工作。</w:t>
      </w:r>
    </w:p>
    <w:p>
      <w:pPr>
        <w:spacing w:line="432" w:lineRule="auto"/>
        <w:ind w:firstLine="640" w:firstLineChars="200"/>
        <w:jc w:val="left"/>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九</w:t>
      </w:r>
      <w:r>
        <w:rPr>
          <w:rFonts w:hint="eastAsia" w:ascii="仿宋_GB2312" w:eastAsia="仿宋_GB2312"/>
          <w:sz w:val="32"/>
          <w:szCs w:val="32"/>
        </w:rPr>
        <w:t>）指导</w:t>
      </w:r>
      <w:r>
        <w:rPr>
          <w:rFonts w:hint="eastAsia" w:ascii="仿宋_GB2312" w:eastAsia="仿宋_GB2312"/>
          <w:sz w:val="32"/>
          <w:szCs w:val="32"/>
          <w:lang w:eastAsia="zh-CN"/>
        </w:rPr>
        <w:t>、管理、</w:t>
      </w:r>
      <w:r>
        <w:rPr>
          <w:rFonts w:hint="eastAsia" w:ascii="仿宋_GB2312" w:eastAsia="仿宋_GB2312"/>
          <w:sz w:val="32"/>
          <w:szCs w:val="32"/>
        </w:rPr>
        <w:t>监督全</w:t>
      </w:r>
      <w:r>
        <w:rPr>
          <w:rFonts w:hint="eastAsia" w:ascii="仿宋_GB2312" w:eastAsia="仿宋_GB2312"/>
          <w:sz w:val="32"/>
          <w:szCs w:val="32"/>
          <w:lang w:eastAsia="zh-CN"/>
        </w:rPr>
        <w:t>区</w:t>
      </w:r>
      <w:r>
        <w:rPr>
          <w:rFonts w:hint="eastAsia" w:ascii="仿宋_GB2312" w:eastAsia="仿宋_GB2312"/>
          <w:sz w:val="32"/>
          <w:szCs w:val="32"/>
        </w:rPr>
        <w:t>司法行政系统财务、装备、设施、场所建设等保障工作。负责全</w:t>
      </w:r>
      <w:r>
        <w:rPr>
          <w:rFonts w:hint="eastAsia" w:ascii="仿宋_GB2312" w:eastAsia="仿宋_GB2312"/>
          <w:sz w:val="32"/>
          <w:szCs w:val="32"/>
          <w:lang w:eastAsia="zh-CN"/>
        </w:rPr>
        <w:t>区</w:t>
      </w:r>
      <w:r>
        <w:rPr>
          <w:rFonts w:hint="eastAsia" w:ascii="仿宋_GB2312" w:eastAsia="仿宋_GB2312"/>
          <w:sz w:val="32"/>
          <w:szCs w:val="32"/>
        </w:rPr>
        <w:t>司法行政系统服装和警车管理工作。</w:t>
      </w:r>
    </w:p>
    <w:p>
      <w:pPr>
        <w:spacing w:line="432" w:lineRule="auto"/>
        <w:ind w:firstLine="640" w:firstLineChars="200"/>
        <w:jc w:val="left"/>
        <w:rPr>
          <w:rFonts w:hint="eastAsia" w:ascii="仿宋_GB2312" w:eastAsia="仿宋_GB2312"/>
          <w:sz w:val="32"/>
          <w:szCs w:val="32"/>
          <w:lang w:eastAsia="zh-CN"/>
        </w:rPr>
      </w:pPr>
      <w:r>
        <w:rPr>
          <w:rFonts w:hint="eastAsia" w:ascii="仿宋_GB2312" w:eastAsia="仿宋_GB2312"/>
          <w:sz w:val="32"/>
          <w:szCs w:val="32"/>
        </w:rPr>
        <w:t>（十）指导监督全</w:t>
      </w:r>
      <w:r>
        <w:rPr>
          <w:rFonts w:hint="eastAsia" w:ascii="仿宋_GB2312" w:eastAsia="仿宋_GB2312"/>
          <w:sz w:val="32"/>
          <w:szCs w:val="32"/>
          <w:lang w:eastAsia="zh-CN"/>
        </w:rPr>
        <w:t>区</w:t>
      </w:r>
      <w:r>
        <w:rPr>
          <w:rFonts w:hint="eastAsia" w:ascii="仿宋_GB2312" w:eastAsia="仿宋_GB2312"/>
          <w:sz w:val="32"/>
          <w:szCs w:val="32"/>
        </w:rPr>
        <w:t>司法行政系统队伍建设。负责全</w:t>
      </w:r>
      <w:r>
        <w:rPr>
          <w:rFonts w:hint="eastAsia" w:ascii="仿宋_GB2312" w:eastAsia="仿宋_GB2312"/>
          <w:sz w:val="32"/>
          <w:szCs w:val="32"/>
          <w:lang w:eastAsia="zh-CN"/>
        </w:rPr>
        <w:t>区</w:t>
      </w:r>
      <w:r>
        <w:rPr>
          <w:rFonts w:hint="eastAsia" w:ascii="仿宋_GB2312" w:eastAsia="仿宋_GB2312"/>
          <w:sz w:val="32"/>
          <w:szCs w:val="32"/>
        </w:rPr>
        <w:t>司法行政系统警务管理和警务督察工作。</w:t>
      </w:r>
    </w:p>
    <w:p>
      <w:pPr>
        <w:spacing w:line="432" w:lineRule="auto"/>
        <w:ind w:firstLine="640" w:firstLineChars="200"/>
        <w:jc w:val="left"/>
        <w:rPr>
          <w:rFonts w:hint="eastAsia" w:ascii="仿宋_GB2312" w:eastAsia="仿宋_GB2312"/>
          <w:sz w:val="32"/>
          <w:szCs w:val="32"/>
          <w:lang w:eastAsia="zh-CN"/>
        </w:rPr>
      </w:pPr>
      <w:r>
        <w:rPr>
          <w:rFonts w:hint="eastAsia" w:ascii="仿宋_GB2312" w:eastAsia="仿宋_GB2312"/>
          <w:sz w:val="32"/>
          <w:szCs w:val="32"/>
        </w:rPr>
        <w:t>（十</w:t>
      </w:r>
      <w:r>
        <w:rPr>
          <w:rFonts w:hint="eastAsia" w:ascii="仿宋_GB2312" w:eastAsia="仿宋_GB2312"/>
          <w:sz w:val="32"/>
          <w:szCs w:val="32"/>
          <w:lang w:eastAsia="zh-CN"/>
        </w:rPr>
        <w:t>一</w:t>
      </w:r>
      <w:r>
        <w:rPr>
          <w:rFonts w:hint="eastAsia" w:ascii="仿宋_GB2312" w:eastAsia="仿宋_GB2312"/>
          <w:sz w:val="32"/>
          <w:szCs w:val="32"/>
        </w:rPr>
        <w:t>）完成</w:t>
      </w:r>
      <w:r>
        <w:rPr>
          <w:rFonts w:hint="eastAsia" w:ascii="仿宋_GB2312" w:eastAsia="仿宋_GB2312"/>
          <w:sz w:val="32"/>
          <w:szCs w:val="32"/>
          <w:lang w:eastAsia="zh-CN"/>
        </w:rPr>
        <w:t>区</w:t>
      </w:r>
      <w:r>
        <w:rPr>
          <w:rFonts w:hint="eastAsia" w:ascii="仿宋_GB2312" w:eastAsia="仿宋_GB2312"/>
          <w:sz w:val="32"/>
          <w:szCs w:val="32"/>
        </w:rPr>
        <w:t>委</w:t>
      </w:r>
      <w:r>
        <w:rPr>
          <w:rFonts w:hint="eastAsia" w:ascii="仿宋_GB2312" w:eastAsia="仿宋_GB2312"/>
          <w:sz w:val="32"/>
          <w:szCs w:val="32"/>
          <w:lang w:eastAsia="zh-CN"/>
        </w:rPr>
        <w:t>、区</w:t>
      </w:r>
      <w:r>
        <w:rPr>
          <w:rFonts w:hint="eastAsia" w:ascii="仿宋_GB2312" w:eastAsia="仿宋_GB2312"/>
          <w:sz w:val="32"/>
          <w:szCs w:val="32"/>
        </w:rPr>
        <w:t>政府交办的其他任务。</w:t>
      </w:r>
    </w:p>
    <w:p>
      <w:pPr>
        <w:widowControl/>
        <w:wordWrap/>
        <w:adjustRightInd/>
        <w:snapToGrid/>
        <w:spacing w:line="560" w:lineRule="exact"/>
        <w:ind w:firstLine="640" w:firstLineChars="200"/>
        <w:jc w:val="left"/>
        <w:textAlignment w:val="auto"/>
        <w:outlineLvl w:val="1"/>
        <w:rPr>
          <w:rFonts w:hint="eastAsia" w:ascii="黑体" w:hAnsi="黑体" w:eastAsia="黑体" w:cs="黑体"/>
          <w:color w:val="auto"/>
          <w:kern w:val="0"/>
          <w:sz w:val="32"/>
          <w:szCs w:val="32"/>
          <w:highlight w:val="none"/>
          <w:lang w:val="en-US" w:eastAsia="zh-CN"/>
        </w:rPr>
      </w:pPr>
      <w:r>
        <w:rPr>
          <w:rFonts w:hint="eastAsia" w:ascii="黑体" w:hAnsi="黑体" w:eastAsia="黑体" w:cs="黑体"/>
          <w:color w:val="auto"/>
          <w:kern w:val="0"/>
          <w:sz w:val="32"/>
          <w:szCs w:val="32"/>
          <w:highlight w:val="none"/>
          <w:lang w:val="en-US" w:eastAsia="zh-CN"/>
        </w:rPr>
        <w:t>二、机构设置</w:t>
      </w:r>
    </w:p>
    <w:p>
      <w:pPr>
        <w:widowControl/>
        <w:wordWrap/>
        <w:adjustRightInd/>
        <w:snapToGrid/>
        <w:spacing w:line="560" w:lineRule="exact"/>
        <w:ind w:firstLine="640" w:firstLineChars="200"/>
        <w:jc w:val="left"/>
        <w:textAlignment w:val="auto"/>
        <w:rPr>
          <w:rFonts w:hint="eastAsia" w:ascii="仿宋_GB2312" w:eastAsia="仿宋_GB2312"/>
          <w:sz w:val="32"/>
          <w:szCs w:val="32"/>
        </w:rPr>
      </w:pPr>
      <w:r>
        <w:rPr>
          <w:rFonts w:hint="eastAsia" w:ascii="仿宋_GB2312" w:hAnsi="仿宋_GB2312" w:eastAsia="仿宋_GB2312" w:cs="仿宋_GB2312"/>
          <w:color w:val="auto"/>
          <w:kern w:val="0"/>
          <w:sz w:val="32"/>
          <w:szCs w:val="32"/>
          <w:highlight w:val="none"/>
          <w:lang w:val="en-US" w:eastAsia="zh-CN"/>
        </w:rPr>
        <w:t>湖滨区司法局内设机构14个，包括：</w:t>
      </w:r>
      <w:r>
        <w:rPr>
          <w:rFonts w:hint="eastAsia" w:ascii="仿宋_GB2312" w:eastAsia="仿宋_GB2312"/>
          <w:sz w:val="32"/>
          <w:szCs w:val="32"/>
        </w:rPr>
        <w:t>办公室（突发事件处置中心）</w:t>
      </w:r>
      <w:r>
        <w:rPr>
          <w:rFonts w:hint="eastAsia" w:ascii="仿宋_GB2312" w:eastAsia="仿宋_GB2312"/>
          <w:sz w:val="32"/>
          <w:szCs w:val="32"/>
          <w:lang w:eastAsia="zh-CN"/>
        </w:rPr>
        <w:t>、</w:t>
      </w:r>
      <w:r>
        <w:rPr>
          <w:rFonts w:hint="eastAsia" w:ascii="仿宋_GB2312" w:eastAsia="仿宋_GB2312"/>
          <w:sz w:val="32"/>
          <w:szCs w:val="32"/>
        </w:rPr>
        <w:t>政治部</w:t>
      </w:r>
      <w:r>
        <w:rPr>
          <w:rFonts w:hint="eastAsia" w:ascii="仿宋_GB2312" w:eastAsia="仿宋_GB2312"/>
          <w:sz w:val="32"/>
          <w:szCs w:val="32"/>
          <w:lang w:eastAsia="zh-CN"/>
        </w:rPr>
        <w:t>（警务处）、</w:t>
      </w:r>
      <w:r>
        <w:rPr>
          <w:rFonts w:hint="eastAsia" w:ascii="仿宋_GB2312" w:eastAsia="仿宋_GB2312"/>
          <w:sz w:val="32"/>
          <w:szCs w:val="32"/>
        </w:rPr>
        <w:t>法制审核</w:t>
      </w:r>
      <w:r>
        <w:rPr>
          <w:rFonts w:hint="eastAsia" w:ascii="仿宋_GB2312" w:eastAsia="仿宋_GB2312"/>
          <w:sz w:val="32"/>
          <w:szCs w:val="32"/>
          <w:lang w:eastAsia="zh-CN"/>
        </w:rPr>
        <w:t>股（规范性文件管理股）、</w:t>
      </w:r>
      <w:r>
        <w:rPr>
          <w:rFonts w:hint="eastAsia" w:ascii="仿宋_GB2312" w:eastAsia="仿宋_GB2312"/>
          <w:sz w:val="32"/>
          <w:szCs w:val="32"/>
        </w:rPr>
        <w:t>社区矫正管理</w:t>
      </w:r>
      <w:r>
        <w:rPr>
          <w:rFonts w:hint="eastAsia" w:ascii="仿宋_GB2312" w:eastAsia="仿宋_GB2312"/>
          <w:sz w:val="32"/>
          <w:szCs w:val="32"/>
          <w:lang w:eastAsia="zh-CN"/>
        </w:rPr>
        <w:t>股（湖滨区社区矫正中心）、</w:t>
      </w:r>
      <w:r>
        <w:rPr>
          <w:rFonts w:hint="eastAsia" w:ascii="仿宋_GB2312" w:eastAsia="仿宋_GB2312"/>
          <w:sz w:val="32"/>
          <w:szCs w:val="32"/>
        </w:rPr>
        <w:t>依法行政指导</w:t>
      </w:r>
      <w:r>
        <w:rPr>
          <w:rFonts w:hint="eastAsia" w:ascii="仿宋_GB2312" w:eastAsia="仿宋_GB2312"/>
          <w:sz w:val="32"/>
          <w:szCs w:val="32"/>
          <w:lang w:eastAsia="zh-CN"/>
        </w:rPr>
        <w:t>股、</w:t>
      </w:r>
      <w:r>
        <w:rPr>
          <w:rFonts w:hint="eastAsia" w:ascii="仿宋_GB2312" w:eastAsia="仿宋_GB2312"/>
          <w:sz w:val="32"/>
          <w:szCs w:val="32"/>
        </w:rPr>
        <w:t>行政执法协调监督</w:t>
      </w:r>
      <w:r>
        <w:rPr>
          <w:rFonts w:hint="eastAsia" w:ascii="仿宋_GB2312" w:eastAsia="仿宋_GB2312"/>
          <w:sz w:val="32"/>
          <w:szCs w:val="32"/>
          <w:lang w:eastAsia="zh-CN"/>
        </w:rPr>
        <w:t>股、法治宣传股、</w:t>
      </w:r>
      <w:r>
        <w:rPr>
          <w:rFonts w:hint="eastAsia" w:ascii="仿宋_GB2312" w:eastAsia="仿宋_GB2312"/>
          <w:sz w:val="32"/>
          <w:szCs w:val="32"/>
        </w:rPr>
        <w:t>人民参与和促进法治</w:t>
      </w:r>
      <w:r>
        <w:rPr>
          <w:rFonts w:hint="eastAsia" w:ascii="仿宋_GB2312" w:eastAsia="仿宋_GB2312"/>
          <w:sz w:val="32"/>
          <w:szCs w:val="32"/>
          <w:lang w:eastAsia="zh-CN"/>
        </w:rPr>
        <w:t>股、公共法律服务管理股、</w:t>
      </w:r>
      <w:r>
        <w:rPr>
          <w:rFonts w:hint="eastAsia" w:ascii="仿宋_GB2312" w:eastAsia="仿宋_GB2312"/>
          <w:sz w:val="32"/>
          <w:szCs w:val="32"/>
        </w:rPr>
        <w:t>律师</w:t>
      </w:r>
      <w:r>
        <w:rPr>
          <w:rFonts w:hint="eastAsia" w:ascii="仿宋_GB2312" w:eastAsia="仿宋_GB2312"/>
          <w:sz w:val="32"/>
          <w:szCs w:val="32"/>
          <w:lang w:eastAsia="zh-CN"/>
        </w:rPr>
        <w:t>工作股、</w:t>
      </w:r>
      <w:r>
        <w:rPr>
          <w:rFonts w:hint="eastAsia" w:ascii="仿宋_GB2312" w:eastAsia="仿宋_GB2312"/>
          <w:sz w:val="32"/>
          <w:szCs w:val="32"/>
        </w:rPr>
        <w:t>法律援助工作</w:t>
      </w:r>
      <w:r>
        <w:rPr>
          <w:rFonts w:hint="eastAsia" w:ascii="仿宋_GB2312" w:eastAsia="仿宋_GB2312"/>
          <w:sz w:val="32"/>
          <w:szCs w:val="32"/>
          <w:lang w:eastAsia="zh-CN"/>
        </w:rPr>
        <w:t>股（湖滨区法律援助中心）、</w:t>
      </w:r>
      <w:r>
        <w:rPr>
          <w:rFonts w:hint="eastAsia" w:ascii="仿宋_GB2312" w:eastAsia="仿宋_GB2312"/>
          <w:color w:val="000000"/>
          <w:kern w:val="0"/>
          <w:sz w:val="31"/>
          <w:szCs w:val="31"/>
          <w:shd w:val="clear" w:color="auto" w:fill="FFFFFF"/>
          <w:lang w:eastAsia="zh-CN"/>
        </w:rPr>
        <w:t>政务服务股、指挥中心（信息化和大数据股）、</w:t>
      </w:r>
      <w:r>
        <w:rPr>
          <w:rFonts w:hint="eastAsia" w:ascii="仿宋_GB2312" w:eastAsia="仿宋_GB2312"/>
          <w:sz w:val="32"/>
          <w:szCs w:val="32"/>
        </w:rPr>
        <w:t>计财装备</w:t>
      </w:r>
      <w:r>
        <w:rPr>
          <w:rFonts w:hint="eastAsia" w:ascii="仿宋_GB2312" w:eastAsia="仿宋_GB2312"/>
          <w:sz w:val="32"/>
          <w:szCs w:val="32"/>
          <w:lang w:eastAsia="zh-CN"/>
        </w:rPr>
        <w:t>股</w:t>
      </w:r>
      <w:r>
        <w:rPr>
          <w:rFonts w:hint="eastAsia" w:ascii="仿宋_GB2312" w:eastAsia="仿宋_GB2312"/>
          <w:sz w:val="32"/>
          <w:szCs w:val="32"/>
        </w:rPr>
        <w:t>。</w:t>
      </w:r>
    </w:p>
    <w:p>
      <w:pPr>
        <w:widowControl/>
        <w:wordWrap/>
        <w:adjustRightInd/>
        <w:snapToGrid/>
        <w:spacing w:line="560" w:lineRule="exact"/>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从决算单位构成看，湖滨区司法局部门决算包括：本级决算。</w:t>
      </w:r>
    </w:p>
    <w:p>
      <w:pPr>
        <w:widowControl/>
        <w:wordWrap/>
        <w:adjustRightInd/>
        <w:snapToGrid/>
        <w:spacing w:line="560" w:lineRule="exact"/>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纳入本部门2019年度部门决算编制范围的单位共1个，其中具体是：湖滨区司法局本级。</w:t>
      </w: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jc w:val="center"/>
        <w:outlineLvl w:val="0"/>
        <w:sectPr>
          <w:pgSz w:w="11850" w:h="16783"/>
          <w:pgMar w:top="1440" w:right="1800" w:bottom="1440" w:left="1800" w:header="720" w:footer="720" w:gutter="0"/>
          <w:pgNumType w:fmt="numberInDash"/>
          <w:cols w:space="720" w:num="1"/>
          <w:docGrid w:type="lines" w:linePitch="312"/>
        </w:sectPr>
      </w:pPr>
      <w:r>
        <w:rPr>
          <w:rFonts w:hint="eastAsia" w:ascii="黑体" w:hAnsi="黑体" w:eastAsia="黑体" w:cs="黑体"/>
          <w:color w:val="auto"/>
          <w:sz w:val="48"/>
          <w:szCs w:val="48"/>
          <w:highlight w:val="none"/>
        </w:rPr>
        <w:t>第</w:t>
      </w:r>
      <w:r>
        <w:rPr>
          <w:rFonts w:hint="eastAsia" w:ascii="黑体" w:hAnsi="黑体" w:eastAsia="黑体" w:cs="黑体"/>
          <w:color w:val="auto"/>
          <w:sz w:val="48"/>
          <w:szCs w:val="48"/>
          <w:highlight w:val="none"/>
          <w:lang w:eastAsia="zh-CN"/>
        </w:rPr>
        <w:t>二</w:t>
      </w:r>
      <w:r>
        <w:rPr>
          <w:rFonts w:hint="eastAsia" w:ascii="黑体" w:hAnsi="黑体" w:eastAsia="黑体" w:cs="黑体"/>
          <w:color w:val="auto"/>
          <w:sz w:val="48"/>
          <w:szCs w:val="48"/>
          <w:highlight w:val="none"/>
        </w:rPr>
        <w:t>部分</w:t>
      </w:r>
      <w:r>
        <w:rPr>
          <w:rFonts w:hint="eastAsia" w:ascii="黑体" w:hAnsi="黑体" w:eastAsia="黑体" w:cs="黑体"/>
          <w:color w:val="auto"/>
          <w:sz w:val="48"/>
          <w:szCs w:val="48"/>
          <w:highlight w:val="none"/>
          <w:lang w:val="en-US" w:eastAsia="zh-CN"/>
        </w:rPr>
        <w:t xml:space="preserve">  </w:t>
      </w:r>
      <w:r>
        <w:rPr>
          <w:rFonts w:hint="eastAsia" w:ascii="黑体" w:hAnsi="黑体" w:eastAsia="黑体" w:cs="黑体"/>
          <w:color w:val="auto"/>
          <w:sz w:val="48"/>
          <w:szCs w:val="48"/>
          <w:highlight w:val="none"/>
          <w:lang w:eastAsia="zh-CN"/>
        </w:rPr>
        <w:t>201</w:t>
      </w:r>
      <w:r>
        <w:rPr>
          <w:rFonts w:hint="eastAsia" w:ascii="黑体" w:hAnsi="黑体" w:eastAsia="黑体" w:cs="黑体"/>
          <w:color w:val="auto"/>
          <w:sz w:val="48"/>
          <w:szCs w:val="48"/>
          <w:highlight w:val="none"/>
          <w:lang w:val="en-US" w:eastAsia="zh-CN"/>
        </w:rPr>
        <w:t>9</w:t>
      </w:r>
      <w:r>
        <w:rPr>
          <w:rFonts w:hint="eastAsia" w:ascii="黑体" w:hAnsi="黑体" w:eastAsia="黑体" w:cs="黑体"/>
          <w:color w:val="auto"/>
          <w:sz w:val="48"/>
          <w:szCs w:val="48"/>
          <w:highlight w:val="none"/>
          <w:lang w:eastAsia="zh-CN"/>
        </w:rPr>
        <w:t>年度</w:t>
      </w:r>
      <w:r>
        <w:rPr>
          <w:rFonts w:hint="eastAsia" w:ascii="黑体" w:hAnsi="黑体" w:eastAsia="黑体" w:cs="黑体"/>
          <w:color w:val="auto"/>
          <w:sz w:val="48"/>
          <w:szCs w:val="48"/>
          <w:highlight w:val="none"/>
        </w:rPr>
        <w:t>部门决</w:t>
      </w:r>
      <w:r>
        <w:rPr>
          <w:rFonts w:hint="eastAsia" w:ascii="黑体" w:hAnsi="黑体" w:eastAsia="黑体" w:cs="黑体"/>
          <w:color w:val="auto"/>
          <w:sz w:val="48"/>
          <w:szCs w:val="48"/>
          <w:highlight w:val="none"/>
          <w:lang w:eastAsia="zh-CN"/>
        </w:rPr>
        <w:t>算</w:t>
      </w:r>
    </w:p>
    <w:tbl>
      <w:tblPr>
        <w:tblW w:w="140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3765"/>
        <w:gridCol w:w="531"/>
        <w:gridCol w:w="3869"/>
        <w:gridCol w:w="3765"/>
        <w:gridCol w:w="531"/>
        <w:gridCol w:w="1609"/>
      </w:tblGrid>
      <w:tr>
        <w:trPr>
          <w:trHeight w:val="390" w:hRule="atLeast"/>
        </w:trPr>
        <w:tc>
          <w:tcPr>
            <w:tcW w:w="3765" w:type="dxa"/>
            <w:vAlign w:val="bottom"/>
          </w:tcPr>
          <w:p>
            <w:pPr>
              <w:rPr>
                <w:rFonts w:hint="eastAsia" w:ascii="Arial" w:hAnsi="Arial" w:cs="Arial"/>
                <w:i w:val="0"/>
                <w:color w:val="000000"/>
                <w:sz w:val="20"/>
                <w:szCs w:val="20"/>
                <w:u w:val="none"/>
              </w:rPr>
            </w:pPr>
          </w:p>
        </w:tc>
        <w:tc>
          <w:tcPr>
            <w:tcW w:w="531" w:type="dxa"/>
            <w:vAlign w:val="bottom"/>
          </w:tcPr>
          <w:p>
            <w:pPr>
              <w:rPr>
                <w:rFonts w:hint="default" w:ascii="Arial" w:hAnsi="Arial" w:cs="Arial"/>
                <w:i w:val="0"/>
                <w:color w:val="000000"/>
                <w:sz w:val="20"/>
                <w:szCs w:val="20"/>
                <w:u w:val="none"/>
              </w:rPr>
            </w:pPr>
          </w:p>
        </w:tc>
        <w:tc>
          <w:tcPr>
            <w:tcW w:w="3869" w:type="dxa"/>
            <w:vAlign w:val="bottom"/>
          </w:tcPr>
          <w:p>
            <w:pPr>
              <w:widowControl/>
              <w:jc w:val="center"/>
              <w:textAlignment w:val="bottom"/>
              <w:rPr>
                <w:rFonts w:hint="eastAsia" w:ascii="宋体" w:hAnsi="宋体" w:eastAsia="宋体" w:cs="宋体"/>
                <w:i w:val="0"/>
                <w:color w:val="000000"/>
                <w:sz w:val="30"/>
                <w:szCs w:val="30"/>
                <w:u w:val="none"/>
              </w:rPr>
            </w:pPr>
            <w:r>
              <w:rPr>
                <w:rFonts w:hint="eastAsia" w:ascii="宋体" w:hAnsi="宋体" w:eastAsia="宋体" w:cs="宋体"/>
                <w:i w:val="0"/>
                <w:color w:val="000000"/>
                <w:kern w:val="0"/>
                <w:sz w:val="30"/>
                <w:szCs w:val="30"/>
                <w:u w:val="none"/>
                <w:lang w:val="en-US" w:eastAsia="zh-CN"/>
              </w:rPr>
              <w:t>收入支出决算总表</w:t>
            </w:r>
          </w:p>
        </w:tc>
        <w:tc>
          <w:tcPr>
            <w:tcW w:w="3765" w:type="dxa"/>
            <w:vAlign w:val="bottom"/>
          </w:tcPr>
          <w:p>
            <w:pPr>
              <w:rPr>
                <w:rFonts w:hint="default" w:ascii="Arial" w:hAnsi="Arial" w:cs="Arial"/>
                <w:i w:val="0"/>
                <w:color w:val="000000"/>
                <w:sz w:val="20"/>
                <w:szCs w:val="20"/>
                <w:u w:val="none"/>
              </w:rPr>
            </w:pPr>
          </w:p>
        </w:tc>
        <w:tc>
          <w:tcPr>
            <w:tcW w:w="531" w:type="dxa"/>
            <w:vAlign w:val="bottom"/>
          </w:tcPr>
          <w:p>
            <w:pPr>
              <w:rPr>
                <w:rFonts w:hint="default" w:ascii="Arial" w:hAnsi="Arial" w:cs="Arial"/>
                <w:i w:val="0"/>
                <w:color w:val="000000"/>
                <w:sz w:val="20"/>
                <w:szCs w:val="20"/>
                <w:u w:val="none"/>
              </w:rPr>
            </w:pPr>
          </w:p>
        </w:tc>
        <w:tc>
          <w:tcPr>
            <w:tcW w:w="1609" w:type="dxa"/>
            <w:vAlign w:val="bottom"/>
          </w:tcPr>
          <w:p>
            <w:pPr>
              <w:rPr>
                <w:rFonts w:hint="default" w:ascii="Arial" w:hAnsi="Arial" w:cs="Arial"/>
                <w:i w:val="0"/>
                <w:color w:val="000000"/>
                <w:sz w:val="20"/>
                <w:szCs w:val="20"/>
                <w:u w:val="none"/>
              </w:rPr>
            </w:pPr>
          </w:p>
        </w:tc>
      </w:tr>
      <w:tr>
        <w:trPr>
          <w:trHeight w:val="286" w:hRule="atLeast"/>
        </w:trPr>
        <w:tc>
          <w:tcPr>
            <w:tcW w:w="3765" w:type="dxa"/>
            <w:vAlign w:val="bottom"/>
          </w:tcPr>
          <w:p>
            <w:pPr>
              <w:rPr>
                <w:rFonts w:hint="default" w:ascii="Arial" w:hAnsi="Arial" w:cs="Arial"/>
                <w:i w:val="0"/>
                <w:color w:val="000000"/>
                <w:sz w:val="20"/>
                <w:szCs w:val="20"/>
                <w:u w:val="none"/>
              </w:rPr>
            </w:pPr>
          </w:p>
        </w:tc>
        <w:tc>
          <w:tcPr>
            <w:tcW w:w="531" w:type="dxa"/>
            <w:vAlign w:val="bottom"/>
          </w:tcPr>
          <w:p>
            <w:pPr>
              <w:rPr>
                <w:rFonts w:hint="default" w:ascii="Arial" w:hAnsi="Arial" w:cs="Arial"/>
                <w:i w:val="0"/>
                <w:color w:val="000000"/>
                <w:sz w:val="20"/>
                <w:szCs w:val="20"/>
                <w:u w:val="none"/>
              </w:rPr>
            </w:pPr>
          </w:p>
        </w:tc>
        <w:tc>
          <w:tcPr>
            <w:tcW w:w="3869" w:type="dxa"/>
            <w:vAlign w:val="bottom"/>
          </w:tcPr>
          <w:p>
            <w:pPr>
              <w:rPr>
                <w:rFonts w:hint="default" w:ascii="Arial" w:hAnsi="Arial" w:cs="Arial"/>
                <w:i w:val="0"/>
                <w:color w:val="000000"/>
                <w:sz w:val="20"/>
                <w:szCs w:val="20"/>
                <w:u w:val="none"/>
              </w:rPr>
            </w:pPr>
          </w:p>
        </w:tc>
        <w:tc>
          <w:tcPr>
            <w:tcW w:w="3765" w:type="dxa"/>
            <w:vAlign w:val="bottom"/>
          </w:tcPr>
          <w:p>
            <w:pPr>
              <w:rPr>
                <w:rFonts w:hint="default" w:ascii="Arial" w:hAnsi="Arial" w:cs="Arial"/>
                <w:i w:val="0"/>
                <w:color w:val="000000"/>
                <w:sz w:val="20"/>
                <w:szCs w:val="20"/>
                <w:u w:val="none"/>
              </w:rPr>
            </w:pPr>
          </w:p>
        </w:tc>
        <w:tc>
          <w:tcPr>
            <w:tcW w:w="531" w:type="dxa"/>
            <w:vAlign w:val="bottom"/>
          </w:tcPr>
          <w:p>
            <w:pPr>
              <w:rPr>
                <w:rFonts w:hint="default" w:ascii="Arial" w:hAnsi="Arial" w:cs="Arial"/>
                <w:i w:val="0"/>
                <w:color w:val="000000"/>
                <w:sz w:val="20"/>
                <w:szCs w:val="20"/>
                <w:u w:val="none"/>
              </w:rPr>
            </w:pPr>
          </w:p>
        </w:tc>
        <w:tc>
          <w:tcPr>
            <w:tcW w:w="1609"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公开01表</w:t>
            </w:r>
          </w:p>
        </w:tc>
      </w:tr>
      <w:tr>
        <w:trPr>
          <w:trHeight w:val="286" w:hRule="atLeast"/>
        </w:trPr>
        <w:tc>
          <w:tcPr>
            <w:tcW w:w="3765" w:type="dxa"/>
            <w:vAlign w:val="bottom"/>
          </w:tcPr>
          <w:p>
            <w:pPr>
              <w:widowControl/>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部门：三门峡市湖滨区司法局</w:t>
            </w:r>
          </w:p>
        </w:tc>
        <w:tc>
          <w:tcPr>
            <w:tcW w:w="531" w:type="dxa"/>
            <w:vAlign w:val="bottom"/>
          </w:tcPr>
          <w:p>
            <w:pPr>
              <w:rPr>
                <w:rFonts w:hint="default" w:ascii="Arial" w:hAnsi="Arial" w:cs="Arial"/>
                <w:i w:val="0"/>
                <w:color w:val="000000"/>
                <w:sz w:val="20"/>
                <w:szCs w:val="20"/>
                <w:u w:val="none"/>
              </w:rPr>
            </w:pPr>
          </w:p>
        </w:tc>
        <w:tc>
          <w:tcPr>
            <w:tcW w:w="3869" w:type="dxa"/>
            <w:vAlign w:val="bottom"/>
          </w:tcPr>
          <w:p>
            <w:pPr>
              <w:rPr>
                <w:rFonts w:hint="default" w:ascii="Arial" w:hAnsi="Arial" w:cs="Arial"/>
                <w:i w:val="0"/>
                <w:color w:val="000000"/>
                <w:sz w:val="20"/>
                <w:szCs w:val="20"/>
                <w:u w:val="none"/>
              </w:rPr>
            </w:pPr>
          </w:p>
        </w:tc>
        <w:tc>
          <w:tcPr>
            <w:tcW w:w="3765" w:type="dxa"/>
            <w:vAlign w:val="bottom"/>
          </w:tcPr>
          <w:p>
            <w:pPr>
              <w:rPr>
                <w:rFonts w:hint="default" w:ascii="Arial" w:hAnsi="Arial" w:cs="Arial"/>
                <w:i w:val="0"/>
                <w:color w:val="000000"/>
                <w:sz w:val="20"/>
                <w:szCs w:val="20"/>
                <w:u w:val="none"/>
              </w:rPr>
            </w:pPr>
          </w:p>
        </w:tc>
        <w:tc>
          <w:tcPr>
            <w:tcW w:w="531" w:type="dxa"/>
            <w:vAlign w:val="bottom"/>
          </w:tcPr>
          <w:p>
            <w:pPr>
              <w:rPr>
                <w:rFonts w:hint="default" w:ascii="Arial" w:hAnsi="Arial" w:cs="Arial"/>
                <w:i w:val="0"/>
                <w:color w:val="000000"/>
                <w:sz w:val="20"/>
                <w:szCs w:val="20"/>
                <w:u w:val="none"/>
              </w:rPr>
            </w:pPr>
          </w:p>
        </w:tc>
        <w:tc>
          <w:tcPr>
            <w:tcW w:w="1609"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金额单位：元</w:t>
            </w:r>
          </w:p>
        </w:tc>
      </w:tr>
      <w:tr>
        <w:trPr>
          <w:trHeight w:val="301" w:hRule="atLeast"/>
        </w:trPr>
        <w:tc>
          <w:tcPr>
            <w:tcW w:w="8165"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收入</w:t>
            </w:r>
          </w:p>
        </w:tc>
        <w:tc>
          <w:tcPr>
            <w:tcW w:w="5905" w:type="dxa"/>
            <w:gridSpan w:val="3"/>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支出</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项目</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行次</w:t>
            </w:r>
          </w:p>
        </w:tc>
        <w:tc>
          <w:tcPr>
            <w:tcW w:w="3869"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金额</w:t>
            </w:r>
          </w:p>
        </w:tc>
        <w:tc>
          <w:tcPr>
            <w:tcW w:w="376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项目</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行次</w:t>
            </w:r>
          </w:p>
        </w:tc>
        <w:tc>
          <w:tcPr>
            <w:tcW w:w="1609"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金额</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栏次</w:t>
            </w:r>
          </w:p>
        </w:tc>
        <w:tc>
          <w:tcPr>
            <w:tcW w:w="531" w:type="dxa"/>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3869"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376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栏次</w:t>
            </w:r>
          </w:p>
        </w:tc>
        <w:tc>
          <w:tcPr>
            <w:tcW w:w="531" w:type="dxa"/>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609"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一、一般公共预算财政拨款收入</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386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5,895,717.54</w:t>
            </w: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一、一般公共服务支出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29</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二、政府性基金预算财政拨款收入</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386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二、外交支出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30</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三、上级补助收入</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386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三、国防支出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31</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四、事业收入</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386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四、公共安全支出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32</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4,653,730.82</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五、经营收入</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386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五、教育支出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33</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六、附属单位上缴收入</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c>
          <w:tcPr>
            <w:tcW w:w="386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六、科学技术支出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34</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七、其他收入</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7</w:t>
            </w:r>
          </w:p>
        </w:tc>
        <w:tc>
          <w:tcPr>
            <w:tcW w:w="386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80,072.31</w:t>
            </w: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七、文化旅游体育与传媒支出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35</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8</w:t>
            </w:r>
          </w:p>
        </w:tc>
        <w:tc>
          <w:tcPr>
            <w:tcW w:w="386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八、社会保障和就业支出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36</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392,133.14</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9</w:t>
            </w:r>
          </w:p>
        </w:tc>
        <w:tc>
          <w:tcPr>
            <w:tcW w:w="386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九、卫生健康支出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37</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223,356.00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w:t>
            </w:r>
          </w:p>
        </w:tc>
        <w:tc>
          <w:tcPr>
            <w:tcW w:w="386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十、节能环保支出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38</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11</w:t>
            </w:r>
          </w:p>
        </w:tc>
        <w:tc>
          <w:tcPr>
            <w:tcW w:w="386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十一、城乡社区支出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39</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12</w:t>
            </w:r>
          </w:p>
        </w:tc>
        <w:tc>
          <w:tcPr>
            <w:tcW w:w="386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十二、农林水支出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40</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13</w:t>
            </w:r>
          </w:p>
        </w:tc>
        <w:tc>
          <w:tcPr>
            <w:tcW w:w="386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十三、交通运输支出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41</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14</w:t>
            </w:r>
          </w:p>
        </w:tc>
        <w:tc>
          <w:tcPr>
            <w:tcW w:w="386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十四、资源勘探信息等支出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42</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15</w:t>
            </w:r>
          </w:p>
        </w:tc>
        <w:tc>
          <w:tcPr>
            <w:tcW w:w="386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十五、商业服务业等支出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43</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16</w:t>
            </w:r>
          </w:p>
        </w:tc>
        <w:tc>
          <w:tcPr>
            <w:tcW w:w="386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十六、金融支出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44</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17</w:t>
            </w:r>
          </w:p>
        </w:tc>
        <w:tc>
          <w:tcPr>
            <w:tcW w:w="386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十七、援助其他地区支出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45</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18</w:t>
            </w:r>
          </w:p>
        </w:tc>
        <w:tc>
          <w:tcPr>
            <w:tcW w:w="386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十八、自然资源海洋气象等支出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46</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19</w:t>
            </w:r>
          </w:p>
        </w:tc>
        <w:tc>
          <w:tcPr>
            <w:tcW w:w="386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十九、住房保障支出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47</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223,356.00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20</w:t>
            </w:r>
          </w:p>
        </w:tc>
        <w:tc>
          <w:tcPr>
            <w:tcW w:w="386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二十、粮油物资储备支出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48</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21</w:t>
            </w:r>
          </w:p>
        </w:tc>
        <w:tc>
          <w:tcPr>
            <w:tcW w:w="386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二十一、灾害防治及应急管理支出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49</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22</w:t>
            </w:r>
          </w:p>
        </w:tc>
        <w:tc>
          <w:tcPr>
            <w:tcW w:w="386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二十二、其他支出</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50</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23</w:t>
            </w:r>
          </w:p>
        </w:tc>
        <w:tc>
          <w:tcPr>
            <w:tcW w:w="386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765"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51</w:t>
            </w:r>
          </w:p>
        </w:tc>
        <w:tc>
          <w:tcPr>
            <w:tcW w:w="1609"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本年收入合计</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24</w:t>
            </w:r>
          </w:p>
        </w:tc>
        <w:tc>
          <w:tcPr>
            <w:tcW w:w="386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5,975,789.85</w:t>
            </w:r>
          </w:p>
        </w:tc>
        <w:tc>
          <w:tcPr>
            <w:tcW w:w="376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本年支出合计</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52</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5,492,575.96</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用事业基金弥补收支差额</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25</w:t>
            </w:r>
          </w:p>
        </w:tc>
        <w:tc>
          <w:tcPr>
            <w:tcW w:w="386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结余分配</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53</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0.00</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年初结转和结余</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26</w:t>
            </w:r>
          </w:p>
        </w:tc>
        <w:tc>
          <w:tcPr>
            <w:tcW w:w="386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526,617.87</w:t>
            </w:r>
          </w:p>
        </w:tc>
        <w:tc>
          <w:tcPr>
            <w:tcW w:w="376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年末结转和结余</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54</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1,009,831.76</w:t>
            </w: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27</w:t>
            </w:r>
          </w:p>
        </w:tc>
        <w:tc>
          <w:tcPr>
            <w:tcW w:w="3869"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2"/>
                <w:szCs w:val="22"/>
                <w:u w:val="none"/>
              </w:rPr>
            </w:pPr>
          </w:p>
        </w:tc>
        <w:tc>
          <w:tcPr>
            <w:tcW w:w="3765"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2"/>
                <w:szCs w:val="22"/>
                <w:u w:val="none"/>
              </w:rPr>
            </w:pP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55</w:t>
            </w:r>
          </w:p>
        </w:tc>
        <w:tc>
          <w:tcPr>
            <w:tcW w:w="1609" w:type="dxa"/>
            <w:tcBorders>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r>
      <w:tr>
        <w:trPr>
          <w:trHeight w:val="301" w:hRule="atLeast"/>
        </w:trPr>
        <w:tc>
          <w:tcPr>
            <w:tcW w:w="3765" w:type="dxa"/>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总计</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28</w:t>
            </w:r>
          </w:p>
        </w:tc>
        <w:tc>
          <w:tcPr>
            <w:tcW w:w="3869"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6,502,407.72</w:t>
            </w:r>
          </w:p>
        </w:tc>
        <w:tc>
          <w:tcPr>
            <w:tcW w:w="376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rPr>
              <w:t>总计</w:t>
            </w:r>
          </w:p>
        </w:tc>
        <w:tc>
          <w:tcPr>
            <w:tcW w:w="53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56</w:t>
            </w:r>
          </w:p>
        </w:tc>
        <w:tc>
          <w:tcPr>
            <w:tcW w:w="160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6,502,407.72</w:t>
            </w:r>
          </w:p>
        </w:tc>
      </w:tr>
      <w:tr>
        <w:trPr>
          <w:trHeight w:val="301" w:hRule="atLeast"/>
        </w:trPr>
        <w:tc>
          <w:tcPr>
            <w:tcW w:w="14070" w:type="dxa"/>
            <w:gridSpan w:val="6"/>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注：本表反映部门本年度的总收支和年末结转结余情况。本表金额转换为万元时，因四舍五入可能存在尾差。</w:t>
            </w:r>
          </w:p>
        </w:tc>
      </w:tr>
    </w:tbl>
    <w:p>
      <w:pPr>
        <w:jc w:val="both"/>
        <w:rPr>
          <w:rFonts w:hint="eastAsia" w:ascii="仿宋_GB2312" w:hAnsi="仿宋_GB2312" w:eastAsia="仿宋_GB2312" w:cs="仿宋_GB2312"/>
          <w:color w:val="auto"/>
          <w:sz w:val="32"/>
          <w:szCs w:val="32"/>
          <w:highlight w:val="none"/>
        </w:rPr>
      </w:pPr>
    </w:p>
    <w:p>
      <w:pPr>
        <w:jc w:val="both"/>
        <w:rPr>
          <w:rFonts w:hint="eastAsia" w:ascii="仿宋_GB2312" w:hAnsi="仿宋_GB2312" w:eastAsia="仿宋_GB2312" w:cs="仿宋_GB2312"/>
          <w:color w:val="auto"/>
          <w:sz w:val="32"/>
          <w:szCs w:val="32"/>
          <w:highlight w:val="none"/>
        </w:rPr>
      </w:pPr>
    </w:p>
    <w:p>
      <w:pPr>
        <w:jc w:val="center"/>
      </w:pPr>
    </w:p>
    <w:p>
      <w:pPr>
        <w:jc w:val="center"/>
      </w:pPr>
    </w:p>
    <w:p>
      <w:pPr>
        <w:jc w:val="center"/>
      </w:pPr>
    </w:p>
    <w:p>
      <w:pPr>
        <w:jc w:val="center"/>
      </w:pPr>
    </w:p>
    <w:p>
      <w:pPr>
        <w:jc w:val="center"/>
      </w:pPr>
    </w:p>
    <w:p>
      <w:pPr>
        <w:jc w:val="center"/>
      </w:pPr>
    </w:p>
    <w:p>
      <w:pPr>
        <w:jc w:val="center"/>
      </w:pPr>
    </w:p>
    <w:p>
      <w:pPr>
        <w:jc w:val="both"/>
      </w:pPr>
    </w:p>
    <w:p>
      <w:pPr>
        <w:jc w:val="center"/>
      </w:pPr>
    </w:p>
    <w:tbl>
      <w:tblPr>
        <w:tblW w:w="147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291"/>
        <w:gridCol w:w="59"/>
        <w:gridCol w:w="59"/>
        <w:gridCol w:w="3803"/>
        <w:gridCol w:w="1869"/>
        <w:gridCol w:w="1388"/>
        <w:gridCol w:w="986"/>
        <w:gridCol w:w="1029"/>
        <w:gridCol w:w="956"/>
        <w:gridCol w:w="1043"/>
        <w:gridCol w:w="2232"/>
      </w:tblGrid>
      <w:tr>
        <w:trPr>
          <w:trHeight w:val="390" w:hRule="atLeast"/>
        </w:trPr>
        <w:tc>
          <w:tcPr>
            <w:tcW w:w="14715" w:type="dxa"/>
            <w:gridSpan w:val="11"/>
            <w:vAlign w:val="bottom"/>
          </w:tcPr>
          <w:p>
            <w:pPr>
              <w:widowControl/>
              <w:jc w:val="center"/>
              <w:textAlignment w:val="bottom"/>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rPr>
              <w:t>收入决算表</w:t>
            </w:r>
          </w:p>
        </w:tc>
      </w:tr>
      <w:tr>
        <w:trPr>
          <w:trHeight w:val="286" w:hRule="atLeast"/>
        </w:trPr>
        <w:tc>
          <w:tcPr>
            <w:tcW w:w="1291" w:type="dxa"/>
            <w:vAlign w:val="bottom"/>
          </w:tcPr>
          <w:p>
            <w:pPr>
              <w:rPr>
                <w:rFonts w:hint="eastAsia" w:ascii="Arial" w:hAnsi="Arial" w:cs="Arial"/>
                <w:i w:val="0"/>
                <w:color w:val="000000"/>
                <w:sz w:val="18"/>
                <w:szCs w:val="18"/>
                <w:u w:val="none"/>
              </w:rPr>
            </w:pPr>
          </w:p>
        </w:tc>
        <w:tc>
          <w:tcPr>
            <w:tcW w:w="59" w:type="dxa"/>
            <w:vAlign w:val="bottom"/>
          </w:tcPr>
          <w:p>
            <w:pPr>
              <w:rPr>
                <w:rFonts w:hint="default" w:ascii="Arial" w:hAnsi="Arial" w:cs="Arial"/>
                <w:i w:val="0"/>
                <w:color w:val="000000"/>
                <w:sz w:val="18"/>
                <w:szCs w:val="18"/>
                <w:u w:val="none"/>
              </w:rPr>
            </w:pPr>
          </w:p>
        </w:tc>
        <w:tc>
          <w:tcPr>
            <w:tcW w:w="59" w:type="dxa"/>
            <w:vAlign w:val="bottom"/>
          </w:tcPr>
          <w:p>
            <w:pPr>
              <w:rPr>
                <w:rFonts w:hint="default" w:ascii="Arial" w:hAnsi="Arial" w:cs="Arial"/>
                <w:i w:val="0"/>
                <w:color w:val="000000"/>
                <w:sz w:val="18"/>
                <w:szCs w:val="18"/>
                <w:u w:val="none"/>
              </w:rPr>
            </w:pPr>
          </w:p>
        </w:tc>
        <w:tc>
          <w:tcPr>
            <w:tcW w:w="3803" w:type="dxa"/>
            <w:vAlign w:val="bottom"/>
          </w:tcPr>
          <w:p>
            <w:pPr>
              <w:rPr>
                <w:rFonts w:hint="default" w:ascii="Arial" w:hAnsi="Arial" w:cs="Arial"/>
                <w:i w:val="0"/>
                <w:color w:val="000000"/>
                <w:sz w:val="18"/>
                <w:szCs w:val="18"/>
                <w:u w:val="none"/>
              </w:rPr>
            </w:pPr>
          </w:p>
        </w:tc>
        <w:tc>
          <w:tcPr>
            <w:tcW w:w="1869" w:type="dxa"/>
            <w:vAlign w:val="bottom"/>
          </w:tcPr>
          <w:p>
            <w:pPr>
              <w:rPr>
                <w:rFonts w:hint="default" w:ascii="Arial" w:hAnsi="Arial" w:cs="Arial"/>
                <w:i w:val="0"/>
                <w:color w:val="000000"/>
                <w:sz w:val="18"/>
                <w:szCs w:val="18"/>
                <w:u w:val="none"/>
              </w:rPr>
            </w:pPr>
          </w:p>
        </w:tc>
        <w:tc>
          <w:tcPr>
            <w:tcW w:w="1388" w:type="dxa"/>
            <w:vAlign w:val="bottom"/>
          </w:tcPr>
          <w:p>
            <w:pPr>
              <w:rPr>
                <w:rFonts w:hint="default" w:ascii="Arial" w:hAnsi="Arial" w:cs="Arial"/>
                <w:i w:val="0"/>
                <w:color w:val="000000"/>
                <w:sz w:val="18"/>
                <w:szCs w:val="18"/>
                <w:u w:val="none"/>
              </w:rPr>
            </w:pPr>
          </w:p>
        </w:tc>
        <w:tc>
          <w:tcPr>
            <w:tcW w:w="986" w:type="dxa"/>
            <w:vAlign w:val="bottom"/>
          </w:tcPr>
          <w:p>
            <w:pPr>
              <w:rPr>
                <w:rFonts w:hint="default" w:ascii="Arial" w:hAnsi="Arial" w:cs="Arial"/>
                <w:i w:val="0"/>
                <w:color w:val="000000"/>
                <w:sz w:val="18"/>
                <w:szCs w:val="18"/>
                <w:u w:val="none"/>
              </w:rPr>
            </w:pPr>
          </w:p>
        </w:tc>
        <w:tc>
          <w:tcPr>
            <w:tcW w:w="1029" w:type="dxa"/>
            <w:vAlign w:val="bottom"/>
          </w:tcPr>
          <w:p>
            <w:pPr>
              <w:rPr>
                <w:rFonts w:hint="default" w:ascii="Arial" w:hAnsi="Arial" w:cs="Arial"/>
                <w:i w:val="0"/>
                <w:color w:val="000000"/>
                <w:sz w:val="18"/>
                <w:szCs w:val="18"/>
                <w:u w:val="none"/>
              </w:rPr>
            </w:pPr>
          </w:p>
        </w:tc>
        <w:tc>
          <w:tcPr>
            <w:tcW w:w="956" w:type="dxa"/>
            <w:vAlign w:val="bottom"/>
          </w:tcPr>
          <w:p>
            <w:pPr>
              <w:rPr>
                <w:rFonts w:hint="default" w:ascii="Arial" w:hAnsi="Arial" w:cs="Arial"/>
                <w:i w:val="0"/>
                <w:color w:val="000000"/>
                <w:sz w:val="18"/>
                <w:szCs w:val="18"/>
                <w:u w:val="none"/>
              </w:rPr>
            </w:pPr>
          </w:p>
        </w:tc>
        <w:tc>
          <w:tcPr>
            <w:tcW w:w="1043" w:type="dxa"/>
            <w:vAlign w:val="bottom"/>
          </w:tcPr>
          <w:p>
            <w:pPr>
              <w:rPr>
                <w:rFonts w:hint="default" w:ascii="Arial" w:hAnsi="Arial" w:cs="Arial"/>
                <w:i w:val="0"/>
                <w:color w:val="000000"/>
                <w:sz w:val="18"/>
                <w:szCs w:val="18"/>
                <w:u w:val="none"/>
              </w:rPr>
            </w:pPr>
          </w:p>
        </w:tc>
        <w:tc>
          <w:tcPr>
            <w:tcW w:w="2232" w:type="dxa"/>
            <w:vAlign w:val="bottom"/>
          </w:tcPr>
          <w:p>
            <w:pPr>
              <w:widowControl/>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公开02表</w:t>
            </w:r>
          </w:p>
        </w:tc>
      </w:tr>
      <w:tr>
        <w:trPr>
          <w:trHeight w:val="286" w:hRule="atLeast"/>
        </w:trPr>
        <w:tc>
          <w:tcPr>
            <w:tcW w:w="1291" w:type="dxa"/>
            <w:vAlign w:val="bottom"/>
          </w:tcPr>
          <w:p>
            <w:pPr>
              <w:widowControl/>
              <w:jc w:val="lef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部门：三门峡市湖滨区司法局</w:t>
            </w:r>
          </w:p>
        </w:tc>
        <w:tc>
          <w:tcPr>
            <w:tcW w:w="59" w:type="dxa"/>
            <w:vAlign w:val="bottom"/>
          </w:tcPr>
          <w:p>
            <w:pPr>
              <w:rPr>
                <w:rFonts w:hint="default" w:ascii="Arial" w:hAnsi="Arial" w:cs="Arial"/>
                <w:i w:val="0"/>
                <w:color w:val="000000"/>
                <w:sz w:val="18"/>
                <w:szCs w:val="18"/>
                <w:u w:val="none"/>
              </w:rPr>
            </w:pPr>
          </w:p>
        </w:tc>
        <w:tc>
          <w:tcPr>
            <w:tcW w:w="59" w:type="dxa"/>
            <w:vAlign w:val="bottom"/>
          </w:tcPr>
          <w:p>
            <w:pPr>
              <w:rPr>
                <w:rFonts w:hint="default" w:ascii="Arial" w:hAnsi="Arial" w:cs="Arial"/>
                <w:i w:val="0"/>
                <w:color w:val="000000"/>
                <w:sz w:val="18"/>
                <w:szCs w:val="18"/>
                <w:u w:val="none"/>
              </w:rPr>
            </w:pPr>
          </w:p>
        </w:tc>
        <w:tc>
          <w:tcPr>
            <w:tcW w:w="3803" w:type="dxa"/>
            <w:vAlign w:val="bottom"/>
          </w:tcPr>
          <w:p>
            <w:pPr>
              <w:rPr>
                <w:rFonts w:hint="default" w:ascii="Arial" w:hAnsi="Arial" w:cs="Arial"/>
                <w:i w:val="0"/>
                <w:color w:val="000000"/>
                <w:sz w:val="18"/>
                <w:szCs w:val="18"/>
                <w:u w:val="none"/>
              </w:rPr>
            </w:pPr>
          </w:p>
        </w:tc>
        <w:tc>
          <w:tcPr>
            <w:tcW w:w="1869" w:type="dxa"/>
            <w:vAlign w:val="bottom"/>
          </w:tcPr>
          <w:p>
            <w:pPr>
              <w:rPr>
                <w:rFonts w:hint="default" w:ascii="Arial" w:hAnsi="Arial" w:cs="Arial"/>
                <w:i w:val="0"/>
                <w:color w:val="000000"/>
                <w:sz w:val="18"/>
                <w:szCs w:val="18"/>
                <w:u w:val="none"/>
              </w:rPr>
            </w:pPr>
          </w:p>
        </w:tc>
        <w:tc>
          <w:tcPr>
            <w:tcW w:w="1388" w:type="dxa"/>
            <w:vAlign w:val="bottom"/>
          </w:tcPr>
          <w:p>
            <w:pPr>
              <w:rPr>
                <w:rFonts w:hint="default" w:ascii="Arial" w:hAnsi="Arial" w:cs="Arial"/>
                <w:i w:val="0"/>
                <w:color w:val="000000"/>
                <w:sz w:val="18"/>
                <w:szCs w:val="18"/>
                <w:u w:val="none"/>
              </w:rPr>
            </w:pPr>
          </w:p>
        </w:tc>
        <w:tc>
          <w:tcPr>
            <w:tcW w:w="986" w:type="dxa"/>
            <w:vAlign w:val="bottom"/>
          </w:tcPr>
          <w:p>
            <w:pPr>
              <w:rPr>
                <w:rFonts w:hint="default" w:ascii="Arial" w:hAnsi="Arial" w:cs="Arial"/>
                <w:i w:val="0"/>
                <w:color w:val="000000"/>
                <w:sz w:val="18"/>
                <w:szCs w:val="18"/>
                <w:u w:val="none"/>
              </w:rPr>
            </w:pPr>
          </w:p>
        </w:tc>
        <w:tc>
          <w:tcPr>
            <w:tcW w:w="1029" w:type="dxa"/>
            <w:vAlign w:val="bottom"/>
          </w:tcPr>
          <w:p>
            <w:pPr>
              <w:rPr>
                <w:rFonts w:hint="default" w:ascii="Arial" w:hAnsi="Arial" w:cs="Arial"/>
                <w:i w:val="0"/>
                <w:color w:val="000000"/>
                <w:sz w:val="18"/>
                <w:szCs w:val="18"/>
                <w:u w:val="none"/>
              </w:rPr>
            </w:pPr>
          </w:p>
        </w:tc>
        <w:tc>
          <w:tcPr>
            <w:tcW w:w="956" w:type="dxa"/>
            <w:vAlign w:val="bottom"/>
          </w:tcPr>
          <w:p>
            <w:pPr>
              <w:rPr>
                <w:rFonts w:hint="default" w:ascii="Arial" w:hAnsi="Arial" w:cs="Arial"/>
                <w:i w:val="0"/>
                <w:color w:val="000000"/>
                <w:sz w:val="18"/>
                <w:szCs w:val="18"/>
                <w:u w:val="none"/>
              </w:rPr>
            </w:pPr>
          </w:p>
        </w:tc>
        <w:tc>
          <w:tcPr>
            <w:tcW w:w="1043" w:type="dxa"/>
            <w:vAlign w:val="bottom"/>
          </w:tcPr>
          <w:p>
            <w:pPr>
              <w:rPr>
                <w:rFonts w:hint="default" w:ascii="Arial" w:hAnsi="Arial" w:cs="Arial"/>
                <w:i w:val="0"/>
                <w:color w:val="000000"/>
                <w:sz w:val="18"/>
                <w:szCs w:val="18"/>
                <w:u w:val="none"/>
              </w:rPr>
            </w:pPr>
          </w:p>
        </w:tc>
        <w:tc>
          <w:tcPr>
            <w:tcW w:w="2232" w:type="dxa"/>
            <w:vAlign w:val="bottom"/>
          </w:tcPr>
          <w:p>
            <w:pPr>
              <w:widowControl/>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金额单位：元</w:t>
            </w:r>
          </w:p>
        </w:tc>
      </w:tr>
      <w:tr>
        <w:trPr>
          <w:trHeight w:val="301" w:hRule="atLeast"/>
        </w:trPr>
        <w:tc>
          <w:tcPr>
            <w:tcW w:w="5212" w:type="dxa"/>
            <w:gridSpan w:val="4"/>
            <w:tcBorders>
              <w:top w:val="single" w:color="000000" w:sz="4" w:space="0"/>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项目</w:t>
            </w:r>
          </w:p>
        </w:tc>
        <w:tc>
          <w:tcPr>
            <w:tcW w:w="1869"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本年收入合计</w:t>
            </w:r>
          </w:p>
        </w:tc>
        <w:tc>
          <w:tcPr>
            <w:tcW w:w="1388"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财政拨款收入</w:t>
            </w:r>
          </w:p>
        </w:tc>
        <w:tc>
          <w:tcPr>
            <w:tcW w:w="986"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上级补助收入</w:t>
            </w:r>
          </w:p>
        </w:tc>
        <w:tc>
          <w:tcPr>
            <w:tcW w:w="1029"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事业收入</w:t>
            </w:r>
          </w:p>
        </w:tc>
        <w:tc>
          <w:tcPr>
            <w:tcW w:w="956"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经营收入</w:t>
            </w:r>
          </w:p>
        </w:tc>
        <w:tc>
          <w:tcPr>
            <w:tcW w:w="1043"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附属单位上缴收入</w:t>
            </w:r>
          </w:p>
        </w:tc>
        <w:tc>
          <w:tcPr>
            <w:tcW w:w="2232"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其他收入</w:t>
            </w:r>
          </w:p>
        </w:tc>
      </w:tr>
      <w:tr>
        <w:trPr>
          <w:trHeight w:val="300" w:hRule="atLeast"/>
        </w:trPr>
        <w:tc>
          <w:tcPr>
            <w:tcW w:w="1409" w:type="dxa"/>
            <w:gridSpan w:val="3"/>
            <w:vMerge w:val="restart"/>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功能分类科目编码</w:t>
            </w:r>
          </w:p>
        </w:tc>
        <w:tc>
          <w:tcPr>
            <w:tcW w:w="3803"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科目名称</w:t>
            </w:r>
          </w:p>
        </w:tc>
        <w:tc>
          <w:tcPr>
            <w:tcW w:w="1869"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1388"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986"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1029"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956"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1043"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2232"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r>
      <w:tr>
        <w:trPr>
          <w:trHeight w:val="300" w:hRule="atLeast"/>
        </w:trPr>
        <w:tc>
          <w:tcPr>
            <w:tcW w:w="1409" w:type="dxa"/>
            <w:gridSpan w:val="3"/>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3803"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1869"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1388"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986"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1029"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956"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1043"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2232"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r>
      <w:tr>
        <w:trPr>
          <w:trHeight w:val="300" w:hRule="atLeast"/>
        </w:trPr>
        <w:tc>
          <w:tcPr>
            <w:tcW w:w="1409" w:type="dxa"/>
            <w:gridSpan w:val="3"/>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3803"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1869"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1388"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986"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1029"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956"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1043"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c>
          <w:tcPr>
            <w:tcW w:w="2232"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18"/>
                <w:szCs w:val="18"/>
                <w:u w:val="none"/>
              </w:rPr>
            </w:pPr>
          </w:p>
        </w:tc>
      </w:tr>
      <w:tr>
        <w:trPr>
          <w:trHeight w:val="301" w:hRule="atLeast"/>
        </w:trPr>
        <w:tc>
          <w:tcPr>
            <w:tcW w:w="5212" w:type="dxa"/>
            <w:gridSpan w:val="4"/>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栏次</w:t>
            </w:r>
          </w:p>
        </w:tc>
        <w:tc>
          <w:tcPr>
            <w:tcW w:w="1869"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1</w:t>
            </w:r>
          </w:p>
        </w:tc>
        <w:tc>
          <w:tcPr>
            <w:tcW w:w="1388"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w:t>
            </w:r>
          </w:p>
        </w:tc>
        <w:tc>
          <w:tcPr>
            <w:tcW w:w="986"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3</w:t>
            </w:r>
          </w:p>
        </w:tc>
        <w:tc>
          <w:tcPr>
            <w:tcW w:w="1029"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4</w:t>
            </w:r>
          </w:p>
        </w:tc>
        <w:tc>
          <w:tcPr>
            <w:tcW w:w="956"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5</w:t>
            </w:r>
          </w:p>
        </w:tc>
        <w:tc>
          <w:tcPr>
            <w:tcW w:w="1043"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6</w:t>
            </w:r>
          </w:p>
        </w:tc>
        <w:tc>
          <w:tcPr>
            <w:tcW w:w="2232"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7</w:t>
            </w:r>
          </w:p>
        </w:tc>
      </w:tr>
      <w:tr>
        <w:trPr>
          <w:trHeight w:val="301" w:hRule="atLeast"/>
        </w:trPr>
        <w:tc>
          <w:tcPr>
            <w:tcW w:w="5212" w:type="dxa"/>
            <w:gridSpan w:val="4"/>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合计</w:t>
            </w:r>
          </w:p>
        </w:tc>
        <w:tc>
          <w:tcPr>
            <w:tcW w:w="186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rPr>
              <w:t>5,975,789.85</w:t>
            </w:r>
          </w:p>
        </w:tc>
        <w:tc>
          <w:tcPr>
            <w:tcW w:w="138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rPr>
              <w:t>5,895,717.54</w:t>
            </w:r>
          </w:p>
        </w:tc>
        <w:tc>
          <w:tcPr>
            <w:tcW w:w="98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rPr>
              <w:t>0.00</w:t>
            </w:r>
          </w:p>
        </w:tc>
        <w:tc>
          <w:tcPr>
            <w:tcW w:w="102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rPr>
              <w:t>0.00</w:t>
            </w:r>
          </w:p>
        </w:tc>
        <w:tc>
          <w:tcPr>
            <w:tcW w:w="104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rPr>
              <w:t>0.00</w:t>
            </w:r>
          </w:p>
        </w:tc>
        <w:tc>
          <w:tcPr>
            <w:tcW w:w="22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rPr>
              <w:t>80,072.31</w:t>
            </w:r>
          </w:p>
        </w:tc>
      </w:tr>
      <w:tr>
        <w:trPr>
          <w:trHeight w:val="301" w:hRule="atLeast"/>
        </w:trPr>
        <w:tc>
          <w:tcPr>
            <w:tcW w:w="1409"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204</w:t>
            </w:r>
          </w:p>
        </w:tc>
        <w:tc>
          <w:tcPr>
            <w:tcW w:w="3803"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公共安全支出</w:t>
            </w:r>
          </w:p>
        </w:tc>
        <w:tc>
          <w:tcPr>
            <w:tcW w:w="186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5,136,944.71</w:t>
            </w:r>
          </w:p>
        </w:tc>
        <w:tc>
          <w:tcPr>
            <w:tcW w:w="138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5,056,872.40</w:t>
            </w:r>
          </w:p>
        </w:tc>
        <w:tc>
          <w:tcPr>
            <w:tcW w:w="98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2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4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22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80,072.31</w:t>
            </w:r>
          </w:p>
        </w:tc>
      </w:tr>
      <w:tr>
        <w:trPr>
          <w:trHeight w:val="301" w:hRule="atLeast"/>
        </w:trPr>
        <w:tc>
          <w:tcPr>
            <w:tcW w:w="1409"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20406</w:t>
            </w:r>
          </w:p>
        </w:tc>
        <w:tc>
          <w:tcPr>
            <w:tcW w:w="3803"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司法</w:t>
            </w:r>
          </w:p>
        </w:tc>
        <w:tc>
          <w:tcPr>
            <w:tcW w:w="186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4,516,944.71</w:t>
            </w:r>
          </w:p>
        </w:tc>
        <w:tc>
          <w:tcPr>
            <w:tcW w:w="138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4,436,872.40</w:t>
            </w:r>
          </w:p>
        </w:tc>
        <w:tc>
          <w:tcPr>
            <w:tcW w:w="98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2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4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22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80,072.31</w:t>
            </w:r>
          </w:p>
        </w:tc>
      </w:tr>
      <w:tr>
        <w:trPr>
          <w:trHeight w:val="301" w:hRule="atLeast"/>
        </w:trPr>
        <w:tc>
          <w:tcPr>
            <w:tcW w:w="1409"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2040601</w:t>
            </w:r>
          </w:p>
        </w:tc>
        <w:tc>
          <w:tcPr>
            <w:tcW w:w="3803"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 xml:space="preserve">  行政运行</w:t>
            </w:r>
          </w:p>
        </w:tc>
        <w:tc>
          <w:tcPr>
            <w:tcW w:w="186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3,558,944.71</w:t>
            </w:r>
          </w:p>
        </w:tc>
        <w:tc>
          <w:tcPr>
            <w:tcW w:w="138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3,478,872.40</w:t>
            </w:r>
          </w:p>
        </w:tc>
        <w:tc>
          <w:tcPr>
            <w:tcW w:w="98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2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4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22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80,072.31</w:t>
            </w:r>
          </w:p>
        </w:tc>
      </w:tr>
      <w:tr>
        <w:trPr>
          <w:trHeight w:val="301" w:hRule="atLeast"/>
        </w:trPr>
        <w:tc>
          <w:tcPr>
            <w:tcW w:w="1409"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2040602</w:t>
            </w:r>
          </w:p>
        </w:tc>
        <w:tc>
          <w:tcPr>
            <w:tcW w:w="3803"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 xml:space="preserve">  一般行政管理事务</w:t>
            </w:r>
          </w:p>
        </w:tc>
        <w:tc>
          <w:tcPr>
            <w:tcW w:w="186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465,000.00</w:t>
            </w:r>
          </w:p>
        </w:tc>
        <w:tc>
          <w:tcPr>
            <w:tcW w:w="138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465,000.00</w:t>
            </w:r>
          </w:p>
        </w:tc>
        <w:tc>
          <w:tcPr>
            <w:tcW w:w="98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2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4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22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r>
      <w:tr>
        <w:trPr>
          <w:trHeight w:val="301" w:hRule="atLeast"/>
        </w:trPr>
        <w:tc>
          <w:tcPr>
            <w:tcW w:w="1409"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2040607</w:t>
            </w:r>
          </w:p>
        </w:tc>
        <w:tc>
          <w:tcPr>
            <w:tcW w:w="3803"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 xml:space="preserve">  法律援助</w:t>
            </w:r>
          </w:p>
        </w:tc>
        <w:tc>
          <w:tcPr>
            <w:tcW w:w="186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90,000.00</w:t>
            </w:r>
          </w:p>
        </w:tc>
        <w:tc>
          <w:tcPr>
            <w:tcW w:w="138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90,000.00</w:t>
            </w:r>
          </w:p>
        </w:tc>
        <w:tc>
          <w:tcPr>
            <w:tcW w:w="98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2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4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22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r>
      <w:tr>
        <w:trPr>
          <w:trHeight w:val="301" w:hRule="atLeast"/>
        </w:trPr>
        <w:tc>
          <w:tcPr>
            <w:tcW w:w="1409"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2040699</w:t>
            </w:r>
          </w:p>
        </w:tc>
        <w:tc>
          <w:tcPr>
            <w:tcW w:w="3803"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 xml:space="preserve">  其他司法支出</w:t>
            </w:r>
          </w:p>
        </w:tc>
        <w:tc>
          <w:tcPr>
            <w:tcW w:w="186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403,000.00</w:t>
            </w:r>
          </w:p>
        </w:tc>
        <w:tc>
          <w:tcPr>
            <w:tcW w:w="138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403,000.00</w:t>
            </w:r>
          </w:p>
        </w:tc>
        <w:tc>
          <w:tcPr>
            <w:tcW w:w="98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2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4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22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r>
      <w:tr>
        <w:trPr>
          <w:trHeight w:val="301" w:hRule="atLeast"/>
        </w:trPr>
        <w:tc>
          <w:tcPr>
            <w:tcW w:w="1409"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20499</w:t>
            </w:r>
          </w:p>
        </w:tc>
        <w:tc>
          <w:tcPr>
            <w:tcW w:w="3803"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其他公共安全支出</w:t>
            </w:r>
          </w:p>
        </w:tc>
        <w:tc>
          <w:tcPr>
            <w:tcW w:w="186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620,000.00</w:t>
            </w:r>
          </w:p>
        </w:tc>
        <w:tc>
          <w:tcPr>
            <w:tcW w:w="138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620,000.00</w:t>
            </w:r>
          </w:p>
        </w:tc>
        <w:tc>
          <w:tcPr>
            <w:tcW w:w="98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2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4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22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r>
      <w:tr>
        <w:trPr>
          <w:trHeight w:val="301" w:hRule="atLeast"/>
        </w:trPr>
        <w:tc>
          <w:tcPr>
            <w:tcW w:w="1409"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2049901</w:t>
            </w:r>
          </w:p>
        </w:tc>
        <w:tc>
          <w:tcPr>
            <w:tcW w:w="3803"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 xml:space="preserve">  其他公共安全支出</w:t>
            </w:r>
          </w:p>
        </w:tc>
        <w:tc>
          <w:tcPr>
            <w:tcW w:w="186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620,000.00</w:t>
            </w:r>
          </w:p>
        </w:tc>
        <w:tc>
          <w:tcPr>
            <w:tcW w:w="138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620,000.00</w:t>
            </w:r>
          </w:p>
        </w:tc>
        <w:tc>
          <w:tcPr>
            <w:tcW w:w="98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2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4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22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r>
      <w:tr>
        <w:trPr>
          <w:trHeight w:val="301" w:hRule="atLeast"/>
        </w:trPr>
        <w:tc>
          <w:tcPr>
            <w:tcW w:w="1409"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208</w:t>
            </w:r>
          </w:p>
        </w:tc>
        <w:tc>
          <w:tcPr>
            <w:tcW w:w="3803"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社会保障和就业支出</w:t>
            </w:r>
          </w:p>
        </w:tc>
        <w:tc>
          <w:tcPr>
            <w:tcW w:w="186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392,133.14</w:t>
            </w:r>
          </w:p>
        </w:tc>
        <w:tc>
          <w:tcPr>
            <w:tcW w:w="138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392,133.14</w:t>
            </w:r>
          </w:p>
        </w:tc>
        <w:tc>
          <w:tcPr>
            <w:tcW w:w="98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2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4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22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r>
      <w:tr>
        <w:trPr>
          <w:trHeight w:val="301" w:hRule="atLeast"/>
        </w:trPr>
        <w:tc>
          <w:tcPr>
            <w:tcW w:w="1409"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20805</w:t>
            </w:r>
          </w:p>
        </w:tc>
        <w:tc>
          <w:tcPr>
            <w:tcW w:w="3803"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行政事业单位离退休</w:t>
            </w:r>
          </w:p>
        </w:tc>
        <w:tc>
          <w:tcPr>
            <w:tcW w:w="186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392,133.14</w:t>
            </w:r>
          </w:p>
        </w:tc>
        <w:tc>
          <w:tcPr>
            <w:tcW w:w="138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392,133.14</w:t>
            </w:r>
          </w:p>
        </w:tc>
        <w:tc>
          <w:tcPr>
            <w:tcW w:w="98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2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4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22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r>
      <w:tr>
        <w:trPr>
          <w:trHeight w:val="301" w:hRule="atLeast"/>
        </w:trPr>
        <w:tc>
          <w:tcPr>
            <w:tcW w:w="1409"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2080501</w:t>
            </w:r>
          </w:p>
        </w:tc>
        <w:tc>
          <w:tcPr>
            <w:tcW w:w="3803"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 xml:space="preserve">  归口管理的行政单位离退休</w:t>
            </w:r>
          </w:p>
        </w:tc>
        <w:tc>
          <w:tcPr>
            <w:tcW w:w="186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22,680.00</w:t>
            </w:r>
          </w:p>
        </w:tc>
        <w:tc>
          <w:tcPr>
            <w:tcW w:w="138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22,680.00</w:t>
            </w:r>
          </w:p>
        </w:tc>
        <w:tc>
          <w:tcPr>
            <w:tcW w:w="98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2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4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22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r>
      <w:tr>
        <w:trPr>
          <w:trHeight w:val="301" w:hRule="atLeast"/>
        </w:trPr>
        <w:tc>
          <w:tcPr>
            <w:tcW w:w="1409"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2080505</w:t>
            </w:r>
          </w:p>
        </w:tc>
        <w:tc>
          <w:tcPr>
            <w:tcW w:w="3803"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 xml:space="preserve">  机关事业单位基本养老保险缴费支出</w:t>
            </w:r>
          </w:p>
        </w:tc>
        <w:tc>
          <w:tcPr>
            <w:tcW w:w="186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369,453.14</w:t>
            </w:r>
          </w:p>
        </w:tc>
        <w:tc>
          <w:tcPr>
            <w:tcW w:w="138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369,453.14</w:t>
            </w:r>
          </w:p>
        </w:tc>
        <w:tc>
          <w:tcPr>
            <w:tcW w:w="98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2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4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22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r>
      <w:tr>
        <w:trPr>
          <w:trHeight w:val="301" w:hRule="atLeast"/>
        </w:trPr>
        <w:tc>
          <w:tcPr>
            <w:tcW w:w="1409"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210</w:t>
            </w:r>
          </w:p>
        </w:tc>
        <w:tc>
          <w:tcPr>
            <w:tcW w:w="3803"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卫生健康支出</w:t>
            </w:r>
          </w:p>
        </w:tc>
        <w:tc>
          <w:tcPr>
            <w:tcW w:w="186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223,356.00</w:t>
            </w:r>
          </w:p>
        </w:tc>
        <w:tc>
          <w:tcPr>
            <w:tcW w:w="138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223,356.00</w:t>
            </w:r>
          </w:p>
        </w:tc>
        <w:tc>
          <w:tcPr>
            <w:tcW w:w="98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2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4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22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r>
      <w:tr>
        <w:trPr>
          <w:trHeight w:val="301" w:hRule="atLeast"/>
        </w:trPr>
        <w:tc>
          <w:tcPr>
            <w:tcW w:w="1409"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21011</w:t>
            </w:r>
          </w:p>
        </w:tc>
        <w:tc>
          <w:tcPr>
            <w:tcW w:w="3803"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行政事业单位医疗</w:t>
            </w:r>
          </w:p>
        </w:tc>
        <w:tc>
          <w:tcPr>
            <w:tcW w:w="186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223,356.00</w:t>
            </w:r>
          </w:p>
        </w:tc>
        <w:tc>
          <w:tcPr>
            <w:tcW w:w="138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223,356.00</w:t>
            </w:r>
          </w:p>
        </w:tc>
        <w:tc>
          <w:tcPr>
            <w:tcW w:w="98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2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4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22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r>
      <w:tr>
        <w:trPr>
          <w:trHeight w:val="301" w:hRule="atLeast"/>
        </w:trPr>
        <w:tc>
          <w:tcPr>
            <w:tcW w:w="1409"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2101101</w:t>
            </w:r>
          </w:p>
        </w:tc>
        <w:tc>
          <w:tcPr>
            <w:tcW w:w="3803"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 xml:space="preserve">  行政单位医疗</w:t>
            </w:r>
          </w:p>
        </w:tc>
        <w:tc>
          <w:tcPr>
            <w:tcW w:w="186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223,356.00</w:t>
            </w:r>
          </w:p>
        </w:tc>
        <w:tc>
          <w:tcPr>
            <w:tcW w:w="138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223,356.00</w:t>
            </w:r>
          </w:p>
        </w:tc>
        <w:tc>
          <w:tcPr>
            <w:tcW w:w="98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2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4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22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r>
      <w:tr>
        <w:trPr>
          <w:trHeight w:val="301" w:hRule="atLeast"/>
        </w:trPr>
        <w:tc>
          <w:tcPr>
            <w:tcW w:w="1409"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221</w:t>
            </w:r>
          </w:p>
        </w:tc>
        <w:tc>
          <w:tcPr>
            <w:tcW w:w="3803"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住房保障支出</w:t>
            </w:r>
          </w:p>
        </w:tc>
        <w:tc>
          <w:tcPr>
            <w:tcW w:w="186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223,356.00</w:t>
            </w:r>
          </w:p>
        </w:tc>
        <w:tc>
          <w:tcPr>
            <w:tcW w:w="138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223,356.00</w:t>
            </w:r>
          </w:p>
        </w:tc>
        <w:tc>
          <w:tcPr>
            <w:tcW w:w="98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2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4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22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r>
      <w:tr>
        <w:trPr>
          <w:trHeight w:val="301" w:hRule="atLeast"/>
        </w:trPr>
        <w:tc>
          <w:tcPr>
            <w:tcW w:w="1409"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22102</w:t>
            </w:r>
          </w:p>
        </w:tc>
        <w:tc>
          <w:tcPr>
            <w:tcW w:w="3803"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住房改革支出</w:t>
            </w:r>
          </w:p>
        </w:tc>
        <w:tc>
          <w:tcPr>
            <w:tcW w:w="186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223,356.00</w:t>
            </w:r>
          </w:p>
        </w:tc>
        <w:tc>
          <w:tcPr>
            <w:tcW w:w="138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223,356.00</w:t>
            </w:r>
          </w:p>
        </w:tc>
        <w:tc>
          <w:tcPr>
            <w:tcW w:w="98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2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4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22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r>
      <w:tr>
        <w:trPr>
          <w:trHeight w:val="301" w:hRule="atLeast"/>
        </w:trPr>
        <w:tc>
          <w:tcPr>
            <w:tcW w:w="1409"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2210201</w:t>
            </w:r>
          </w:p>
        </w:tc>
        <w:tc>
          <w:tcPr>
            <w:tcW w:w="3803"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 xml:space="preserve">  住房公积金</w:t>
            </w:r>
          </w:p>
        </w:tc>
        <w:tc>
          <w:tcPr>
            <w:tcW w:w="186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223,356.00</w:t>
            </w:r>
          </w:p>
        </w:tc>
        <w:tc>
          <w:tcPr>
            <w:tcW w:w="138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223,356.00</w:t>
            </w:r>
          </w:p>
        </w:tc>
        <w:tc>
          <w:tcPr>
            <w:tcW w:w="98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29"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104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c>
          <w:tcPr>
            <w:tcW w:w="22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0.00</w:t>
            </w:r>
          </w:p>
        </w:tc>
      </w:tr>
      <w:tr>
        <w:trPr>
          <w:trHeight w:val="301" w:hRule="atLeast"/>
        </w:trPr>
        <w:tc>
          <w:tcPr>
            <w:tcW w:w="14715" w:type="dxa"/>
            <w:gridSpan w:val="11"/>
            <w:vAlign w:val="center"/>
          </w:tcPr>
          <w:p>
            <w:pPr>
              <w:widowControl/>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rPr>
              <w:t>注：本表反映部门本年度取得的各项收入情况。本表金额转换为万元时，因四舍五入可能存在尾差。</w:t>
            </w:r>
          </w:p>
        </w:tc>
      </w:tr>
    </w:tbl>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both"/>
      </w:pPr>
    </w:p>
    <w:p>
      <w:pPr>
        <w:jc w:val="center"/>
      </w:pPr>
    </w:p>
    <w:p>
      <w:pPr>
        <w:jc w:val="center"/>
      </w:pPr>
    </w:p>
    <w:tbl>
      <w:tblPr>
        <w:tblW w:w="127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299"/>
        <w:gridCol w:w="52"/>
        <w:gridCol w:w="52"/>
        <w:gridCol w:w="3838"/>
        <w:gridCol w:w="1893"/>
        <w:gridCol w:w="1348"/>
        <w:gridCol w:w="1130"/>
        <w:gridCol w:w="982"/>
        <w:gridCol w:w="981"/>
        <w:gridCol w:w="1205"/>
      </w:tblGrid>
      <w:tr>
        <w:trPr>
          <w:trHeight w:val="390" w:hRule="atLeast"/>
        </w:trPr>
        <w:tc>
          <w:tcPr>
            <w:tcW w:w="12780" w:type="dxa"/>
            <w:gridSpan w:val="10"/>
            <w:vAlign w:val="bottom"/>
          </w:tcPr>
          <w:p>
            <w:pPr>
              <w:widowControl/>
              <w:jc w:val="center"/>
              <w:textAlignment w:val="bottom"/>
              <w:rPr>
                <w:rFonts w:hint="eastAsia" w:ascii="宋体" w:hAnsi="宋体" w:eastAsia="宋体" w:cs="宋体"/>
                <w:i w:val="0"/>
                <w:color w:val="000000"/>
                <w:sz w:val="30"/>
                <w:szCs w:val="30"/>
                <w:u w:val="none"/>
              </w:rPr>
            </w:pPr>
            <w:r>
              <w:rPr>
                <w:rFonts w:hint="eastAsia" w:ascii="宋体" w:hAnsi="宋体" w:eastAsia="宋体" w:cs="宋体"/>
                <w:i w:val="0"/>
                <w:color w:val="000000"/>
                <w:kern w:val="0"/>
                <w:sz w:val="30"/>
                <w:szCs w:val="30"/>
                <w:u w:val="none"/>
                <w:lang w:val="en-US" w:eastAsia="zh-CN"/>
              </w:rPr>
              <w:t>支出决算表</w:t>
            </w:r>
          </w:p>
        </w:tc>
      </w:tr>
      <w:tr>
        <w:trPr>
          <w:trHeight w:val="286" w:hRule="atLeast"/>
        </w:trPr>
        <w:tc>
          <w:tcPr>
            <w:tcW w:w="1299" w:type="dxa"/>
            <w:vAlign w:val="bottom"/>
          </w:tcPr>
          <w:p>
            <w:pPr>
              <w:rPr>
                <w:rFonts w:hint="eastAsia" w:ascii="Arial" w:hAnsi="Arial" w:cs="Arial"/>
                <w:i w:val="0"/>
                <w:color w:val="000000"/>
                <w:sz w:val="20"/>
                <w:szCs w:val="20"/>
                <w:u w:val="none"/>
              </w:rPr>
            </w:pPr>
          </w:p>
        </w:tc>
        <w:tc>
          <w:tcPr>
            <w:tcW w:w="52" w:type="dxa"/>
            <w:vAlign w:val="bottom"/>
          </w:tcPr>
          <w:p>
            <w:pPr>
              <w:rPr>
                <w:rFonts w:hint="default" w:ascii="Arial" w:hAnsi="Arial" w:cs="Arial"/>
                <w:i w:val="0"/>
                <w:color w:val="000000"/>
                <w:sz w:val="20"/>
                <w:szCs w:val="20"/>
                <w:u w:val="none"/>
              </w:rPr>
            </w:pPr>
          </w:p>
        </w:tc>
        <w:tc>
          <w:tcPr>
            <w:tcW w:w="52" w:type="dxa"/>
            <w:vAlign w:val="bottom"/>
          </w:tcPr>
          <w:p>
            <w:pPr>
              <w:rPr>
                <w:rFonts w:hint="default" w:ascii="Arial" w:hAnsi="Arial" w:cs="Arial"/>
                <w:i w:val="0"/>
                <w:color w:val="000000"/>
                <w:sz w:val="20"/>
                <w:szCs w:val="20"/>
                <w:u w:val="none"/>
              </w:rPr>
            </w:pPr>
          </w:p>
        </w:tc>
        <w:tc>
          <w:tcPr>
            <w:tcW w:w="3838" w:type="dxa"/>
            <w:vAlign w:val="bottom"/>
          </w:tcPr>
          <w:p>
            <w:pPr>
              <w:rPr>
                <w:rFonts w:hint="default" w:ascii="Arial" w:hAnsi="Arial" w:cs="Arial"/>
                <w:i w:val="0"/>
                <w:color w:val="000000"/>
                <w:sz w:val="20"/>
                <w:szCs w:val="20"/>
                <w:u w:val="none"/>
              </w:rPr>
            </w:pPr>
          </w:p>
        </w:tc>
        <w:tc>
          <w:tcPr>
            <w:tcW w:w="1893" w:type="dxa"/>
            <w:vAlign w:val="bottom"/>
          </w:tcPr>
          <w:p>
            <w:pPr>
              <w:rPr>
                <w:rFonts w:hint="default" w:ascii="Arial" w:hAnsi="Arial" w:cs="Arial"/>
                <w:i w:val="0"/>
                <w:color w:val="000000"/>
                <w:sz w:val="20"/>
                <w:szCs w:val="20"/>
                <w:u w:val="none"/>
              </w:rPr>
            </w:pPr>
          </w:p>
        </w:tc>
        <w:tc>
          <w:tcPr>
            <w:tcW w:w="1348" w:type="dxa"/>
            <w:vAlign w:val="bottom"/>
          </w:tcPr>
          <w:p>
            <w:pPr>
              <w:rPr>
                <w:rFonts w:hint="default" w:ascii="Arial" w:hAnsi="Arial" w:cs="Arial"/>
                <w:i w:val="0"/>
                <w:color w:val="000000"/>
                <w:sz w:val="20"/>
                <w:szCs w:val="20"/>
                <w:u w:val="none"/>
              </w:rPr>
            </w:pPr>
          </w:p>
        </w:tc>
        <w:tc>
          <w:tcPr>
            <w:tcW w:w="1130" w:type="dxa"/>
            <w:vAlign w:val="bottom"/>
          </w:tcPr>
          <w:p>
            <w:pPr>
              <w:rPr>
                <w:rFonts w:hint="default" w:ascii="Arial" w:hAnsi="Arial" w:cs="Arial"/>
                <w:i w:val="0"/>
                <w:color w:val="000000"/>
                <w:sz w:val="20"/>
                <w:szCs w:val="20"/>
                <w:u w:val="none"/>
              </w:rPr>
            </w:pPr>
          </w:p>
        </w:tc>
        <w:tc>
          <w:tcPr>
            <w:tcW w:w="982" w:type="dxa"/>
            <w:vAlign w:val="bottom"/>
          </w:tcPr>
          <w:p>
            <w:pPr>
              <w:rPr>
                <w:rFonts w:hint="default" w:ascii="Arial" w:hAnsi="Arial" w:cs="Arial"/>
                <w:i w:val="0"/>
                <w:color w:val="000000"/>
                <w:sz w:val="20"/>
                <w:szCs w:val="20"/>
                <w:u w:val="none"/>
              </w:rPr>
            </w:pPr>
          </w:p>
        </w:tc>
        <w:tc>
          <w:tcPr>
            <w:tcW w:w="981" w:type="dxa"/>
            <w:vAlign w:val="bottom"/>
          </w:tcPr>
          <w:p>
            <w:pPr>
              <w:rPr>
                <w:rFonts w:hint="default" w:ascii="Arial" w:hAnsi="Arial" w:cs="Arial"/>
                <w:i w:val="0"/>
                <w:color w:val="000000"/>
                <w:sz w:val="20"/>
                <w:szCs w:val="20"/>
                <w:u w:val="none"/>
              </w:rPr>
            </w:pPr>
          </w:p>
        </w:tc>
        <w:tc>
          <w:tcPr>
            <w:tcW w:w="1205"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公开03表</w:t>
            </w:r>
          </w:p>
        </w:tc>
      </w:tr>
      <w:tr>
        <w:trPr>
          <w:trHeight w:val="286" w:hRule="atLeast"/>
        </w:trPr>
        <w:tc>
          <w:tcPr>
            <w:tcW w:w="1299" w:type="dxa"/>
            <w:vAlign w:val="bottom"/>
          </w:tcPr>
          <w:p>
            <w:pPr>
              <w:widowControl/>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部门：三门峡市湖滨区司法局</w:t>
            </w:r>
          </w:p>
        </w:tc>
        <w:tc>
          <w:tcPr>
            <w:tcW w:w="52" w:type="dxa"/>
            <w:vAlign w:val="bottom"/>
          </w:tcPr>
          <w:p>
            <w:pPr>
              <w:rPr>
                <w:rFonts w:hint="default" w:ascii="Arial" w:hAnsi="Arial" w:cs="Arial"/>
                <w:i w:val="0"/>
                <w:color w:val="000000"/>
                <w:sz w:val="20"/>
                <w:szCs w:val="20"/>
                <w:u w:val="none"/>
              </w:rPr>
            </w:pPr>
          </w:p>
        </w:tc>
        <w:tc>
          <w:tcPr>
            <w:tcW w:w="52" w:type="dxa"/>
            <w:vAlign w:val="bottom"/>
          </w:tcPr>
          <w:p>
            <w:pPr>
              <w:rPr>
                <w:rFonts w:hint="default" w:ascii="Arial" w:hAnsi="Arial" w:cs="Arial"/>
                <w:i w:val="0"/>
                <w:color w:val="000000"/>
                <w:sz w:val="20"/>
                <w:szCs w:val="20"/>
                <w:u w:val="none"/>
              </w:rPr>
            </w:pPr>
          </w:p>
        </w:tc>
        <w:tc>
          <w:tcPr>
            <w:tcW w:w="3838" w:type="dxa"/>
            <w:vAlign w:val="bottom"/>
          </w:tcPr>
          <w:p>
            <w:pPr>
              <w:rPr>
                <w:rFonts w:hint="default" w:ascii="Arial" w:hAnsi="Arial" w:cs="Arial"/>
                <w:i w:val="0"/>
                <w:color w:val="000000"/>
                <w:sz w:val="20"/>
                <w:szCs w:val="20"/>
                <w:u w:val="none"/>
              </w:rPr>
            </w:pPr>
          </w:p>
        </w:tc>
        <w:tc>
          <w:tcPr>
            <w:tcW w:w="1893" w:type="dxa"/>
            <w:vAlign w:val="bottom"/>
          </w:tcPr>
          <w:p>
            <w:pPr>
              <w:rPr>
                <w:rFonts w:hint="default" w:ascii="Arial" w:hAnsi="Arial" w:cs="Arial"/>
                <w:i w:val="0"/>
                <w:color w:val="000000"/>
                <w:sz w:val="20"/>
                <w:szCs w:val="20"/>
                <w:u w:val="none"/>
              </w:rPr>
            </w:pPr>
          </w:p>
        </w:tc>
        <w:tc>
          <w:tcPr>
            <w:tcW w:w="1348" w:type="dxa"/>
            <w:vAlign w:val="bottom"/>
          </w:tcPr>
          <w:p>
            <w:pPr>
              <w:rPr>
                <w:rFonts w:hint="default" w:ascii="Arial" w:hAnsi="Arial" w:cs="Arial"/>
                <w:i w:val="0"/>
                <w:color w:val="000000"/>
                <w:sz w:val="20"/>
                <w:szCs w:val="20"/>
                <w:u w:val="none"/>
              </w:rPr>
            </w:pPr>
          </w:p>
        </w:tc>
        <w:tc>
          <w:tcPr>
            <w:tcW w:w="1130" w:type="dxa"/>
            <w:vAlign w:val="bottom"/>
          </w:tcPr>
          <w:p>
            <w:pPr>
              <w:rPr>
                <w:rFonts w:hint="default" w:ascii="Arial" w:hAnsi="Arial" w:cs="Arial"/>
                <w:i w:val="0"/>
                <w:color w:val="000000"/>
                <w:sz w:val="20"/>
                <w:szCs w:val="20"/>
                <w:u w:val="none"/>
              </w:rPr>
            </w:pPr>
          </w:p>
        </w:tc>
        <w:tc>
          <w:tcPr>
            <w:tcW w:w="982" w:type="dxa"/>
            <w:vAlign w:val="bottom"/>
          </w:tcPr>
          <w:p>
            <w:pPr>
              <w:rPr>
                <w:rFonts w:hint="default" w:ascii="Arial" w:hAnsi="Arial" w:cs="Arial"/>
                <w:i w:val="0"/>
                <w:color w:val="000000"/>
                <w:sz w:val="20"/>
                <w:szCs w:val="20"/>
                <w:u w:val="none"/>
              </w:rPr>
            </w:pPr>
          </w:p>
        </w:tc>
        <w:tc>
          <w:tcPr>
            <w:tcW w:w="981" w:type="dxa"/>
            <w:vAlign w:val="bottom"/>
          </w:tcPr>
          <w:p>
            <w:pPr>
              <w:rPr>
                <w:rFonts w:hint="default" w:ascii="Arial" w:hAnsi="Arial" w:cs="Arial"/>
                <w:i w:val="0"/>
                <w:color w:val="000000"/>
                <w:sz w:val="20"/>
                <w:szCs w:val="20"/>
                <w:u w:val="none"/>
              </w:rPr>
            </w:pPr>
          </w:p>
        </w:tc>
        <w:tc>
          <w:tcPr>
            <w:tcW w:w="1205"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金额单位：元</w:t>
            </w:r>
          </w:p>
        </w:tc>
      </w:tr>
      <w:tr>
        <w:trPr>
          <w:trHeight w:val="301" w:hRule="atLeast"/>
        </w:trPr>
        <w:tc>
          <w:tcPr>
            <w:tcW w:w="5241" w:type="dxa"/>
            <w:gridSpan w:val="4"/>
            <w:tcBorders>
              <w:top w:val="single" w:color="000000" w:sz="4" w:space="0"/>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项目</w:t>
            </w:r>
          </w:p>
        </w:tc>
        <w:tc>
          <w:tcPr>
            <w:tcW w:w="1893"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本年支出合计</w:t>
            </w:r>
          </w:p>
        </w:tc>
        <w:tc>
          <w:tcPr>
            <w:tcW w:w="1348"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基本支出</w:t>
            </w:r>
          </w:p>
        </w:tc>
        <w:tc>
          <w:tcPr>
            <w:tcW w:w="1130"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项目支出</w:t>
            </w:r>
          </w:p>
        </w:tc>
        <w:tc>
          <w:tcPr>
            <w:tcW w:w="982"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上缴上级支出</w:t>
            </w:r>
          </w:p>
        </w:tc>
        <w:tc>
          <w:tcPr>
            <w:tcW w:w="981"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经营支出</w:t>
            </w:r>
          </w:p>
        </w:tc>
        <w:tc>
          <w:tcPr>
            <w:tcW w:w="1205"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对附属单位补助支出</w:t>
            </w:r>
          </w:p>
        </w:tc>
      </w:tr>
      <w:tr>
        <w:trPr>
          <w:trHeight w:val="300" w:hRule="atLeast"/>
        </w:trPr>
        <w:tc>
          <w:tcPr>
            <w:tcW w:w="1403" w:type="dxa"/>
            <w:gridSpan w:val="3"/>
            <w:vMerge w:val="restart"/>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功能分类科目编码</w:t>
            </w:r>
          </w:p>
        </w:tc>
        <w:tc>
          <w:tcPr>
            <w:tcW w:w="3838"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科目名称</w:t>
            </w:r>
          </w:p>
        </w:tc>
        <w:tc>
          <w:tcPr>
            <w:tcW w:w="1893"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1348"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1130"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982"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981"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1205"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r>
      <w:tr>
        <w:trPr>
          <w:trHeight w:val="300" w:hRule="atLeast"/>
        </w:trPr>
        <w:tc>
          <w:tcPr>
            <w:tcW w:w="1403" w:type="dxa"/>
            <w:gridSpan w:val="3"/>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3838"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1893"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1348"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1130"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982"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981"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1205"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r>
      <w:tr>
        <w:trPr>
          <w:trHeight w:val="300" w:hRule="atLeast"/>
        </w:trPr>
        <w:tc>
          <w:tcPr>
            <w:tcW w:w="1403" w:type="dxa"/>
            <w:gridSpan w:val="3"/>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3838"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1893"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1348"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1130"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982"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981"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1205" w:type="dxa"/>
            <w:vMerge w:val="continue"/>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r>
      <w:tr>
        <w:trPr>
          <w:trHeight w:val="301" w:hRule="atLeast"/>
        </w:trPr>
        <w:tc>
          <w:tcPr>
            <w:tcW w:w="5241" w:type="dxa"/>
            <w:gridSpan w:val="4"/>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栏次</w:t>
            </w:r>
          </w:p>
        </w:tc>
        <w:tc>
          <w:tcPr>
            <w:tcW w:w="1893"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w:t>
            </w:r>
          </w:p>
        </w:tc>
        <w:tc>
          <w:tcPr>
            <w:tcW w:w="1348"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w:t>
            </w:r>
          </w:p>
        </w:tc>
        <w:tc>
          <w:tcPr>
            <w:tcW w:w="113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w:t>
            </w:r>
          </w:p>
        </w:tc>
        <w:tc>
          <w:tcPr>
            <w:tcW w:w="982"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w:t>
            </w:r>
          </w:p>
        </w:tc>
        <w:tc>
          <w:tcPr>
            <w:tcW w:w="98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w:t>
            </w:r>
          </w:p>
        </w:tc>
        <w:tc>
          <w:tcPr>
            <w:tcW w:w="120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6</w:t>
            </w:r>
          </w:p>
        </w:tc>
      </w:tr>
      <w:tr>
        <w:trPr>
          <w:trHeight w:val="301" w:hRule="atLeast"/>
        </w:trPr>
        <w:tc>
          <w:tcPr>
            <w:tcW w:w="5241" w:type="dxa"/>
            <w:gridSpan w:val="4"/>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合计</w:t>
            </w:r>
          </w:p>
        </w:tc>
        <w:tc>
          <w:tcPr>
            <w:tcW w:w="18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rPr>
              <w:t>5,492,575.96</w:t>
            </w:r>
          </w:p>
        </w:tc>
        <w:tc>
          <w:tcPr>
            <w:tcW w:w="134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rPr>
              <w:t>5,042,983.74</w:t>
            </w:r>
          </w:p>
        </w:tc>
        <w:tc>
          <w:tcPr>
            <w:tcW w:w="11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rPr>
              <w:t>449,592.22</w:t>
            </w:r>
          </w:p>
        </w:tc>
        <w:tc>
          <w:tcPr>
            <w:tcW w:w="98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rPr>
              <w:t>0.00</w:t>
            </w:r>
          </w:p>
        </w:tc>
        <w:tc>
          <w:tcPr>
            <w:tcW w:w="98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rPr>
              <w:t>0.00</w:t>
            </w:r>
          </w:p>
        </w:tc>
        <w:tc>
          <w:tcPr>
            <w:tcW w:w="120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rPr>
              <w:t>0.00</w:t>
            </w:r>
          </w:p>
        </w:tc>
      </w:tr>
      <w:tr>
        <w:trPr>
          <w:trHeight w:val="301" w:hRule="atLeast"/>
        </w:trPr>
        <w:tc>
          <w:tcPr>
            <w:tcW w:w="140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204</w:t>
            </w:r>
          </w:p>
        </w:tc>
        <w:tc>
          <w:tcPr>
            <w:tcW w:w="3838"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公共安全支出</w:t>
            </w:r>
          </w:p>
        </w:tc>
        <w:tc>
          <w:tcPr>
            <w:tcW w:w="18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4,653,730.82</w:t>
            </w:r>
          </w:p>
        </w:tc>
        <w:tc>
          <w:tcPr>
            <w:tcW w:w="134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4,204,138.60</w:t>
            </w:r>
          </w:p>
        </w:tc>
        <w:tc>
          <w:tcPr>
            <w:tcW w:w="11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449,592.22</w:t>
            </w:r>
          </w:p>
        </w:tc>
        <w:tc>
          <w:tcPr>
            <w:tcW w:w="98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0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140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20406</w:t>
            </w:r>
          </w:p>
        </w:tc>
        <w:tc>
          <w:tcPr>
            <w:tcW w:w="3838"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司法</w:t>
            </w:r>
          </w:p>
        </w:tc>
        <w:tc>
          <w:tcPr>
            <w:tcW w:w="18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4,492,610.82</w:t>
            </w:r>
          </w:p>
        </w:tc>
        <w:tc>
          <w:tcPr>
            <w:tcW w:w="134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4,043,018.60</w:t>
            </w:r>
          </w:p>
        </w:tc>
        <w:tc>
          <w:tcPr>
            <w:tcW w:w="11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449,592.22</w:t>
            </w:r>
          </w:p>
        </w:tc>
        <w:tc>
          <w:tcPr>
            <w:tcW w:w="98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0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140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2040601</w:t>
            </w:r>
          </w:p>
        </w:tc>
        <w:tc>
          <w:tcPr>
            <w:tcW w:w="3838"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行政运行</w:t>
            </w:r>
          </w:p>
        </w:tc>
        <w:tc>
          <w:tcPr>
            <w:tcW w:w="18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3,579,437.60</w:t>
            </w:r>
          </w:p>
        </w:tc>
        <w:tc>
          <w:tcPr>
            <w:tcW w:w="134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3,579,437.60</w:t>
            </w:r>
          </w:p>
        </w:tc>
        <w:tc>
          <w:tcPr>
            <w:tcW w:w="11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0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140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2040602</w:t>
            </w:r>
          </w:p>
        </w:tc>
        <w:tc>
          <w:tcPr>
            <w:tcW w:w="3838"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一般行政管理事务</w:t>
            </w:r>
          </w:p>
        </w:tc>
        <w:tc>
          <w:tcPr>
            <w:tcW w:w="18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449,592.22</w:t>
            </w:r>
          </w:p>
        </w:tc>
        <w:tc>
          <w:tcPr>
            <w:tcW w:w="134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1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449,592.22</w:t>
            </w:r>
          </w:p>
        </w:tc>
        <w:tc>
          <w:tcPr>
            <w:tcW w:w="98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0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140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2040699</w:t>
            </w:r>
          </w:p>
        </w:tc>
        <w:tc>
          <w:tcPr>
            <w:tcW w:w="3838"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其他司法支出</w:t>
            </w:r>
          </w:p>
        </w:tc>
        <w:tc>
          <w:tcPr>
            <w:tcW w:w="18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463,581.00</w:t>
            </w:r>
          </w:p>
        </w:tc>
        <w:tc>
          <w:tcPr>
            <w:tcW w:w="134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463,581.00</w:t>
            </w:r>
          </w:p>
        </w:tc>
        <w:tc>
          <w:tcPr>
            <w:tcW w:w="11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0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140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20499</w:t>
            </w:r>
          </w:p>
        </w:tc>
        <w:tc>
          <w:tcPr>
            <w:tcW w:w="3838"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其他公共安全支出</w:t>
            </w:r>
          </w:p>
        </w:tc>
        <w:tc>
          <w:tcPr>
            <w:tcW w:w="18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161,120.00</w:t>
            </w:r>
          </w:p>
        </w:tc>
        <w:tc>
          <w:tcPr>
            <w:tcW w:w="134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161,120.00</w:t>
            </w:r>
          </w:p>
        </w:tc>
        <w:tc>
          <w:tcPr>
            <w:tcW w:w="11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0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140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2049901</w:t>
            </w:r>
          </w:p>
        </w:tc>
        <w:tc>
          <w:tcPr>
            <w:tcW w:w="3838"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其他公共安全支出</w:t>
            </w:r>
          </w:p>
        </w:tc>
        <w:tc>
          <w:tcPr>
            <w:tcW w:w="18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161,120.00</w:t>
            </w:r>
          </w:p>
        </w:tc>
        <w:tc>
          <w:tcPr>
            <w:tcW w:w="134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161,120.00</w:t>
            </w:r>
          </w:p>
        </w:tc>
        <w:tc>
          <w:tcPr>
            <w:tcW w:w="11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0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140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208</w:t>
            </w:r>
          </w:p>
        </w:tc>
        <w:tc>
          <w:tcPr>
            <w:tcW w:w="3838"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社会保障和就业支出</w:t>
            </w:r>
          </w:p>
        </w:tc>
        <w:tc>
          <w:tcPr>
            <w:tcW w:w="18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392,133.14</w:t>
            </w:r>
          </w:p>
        </w:tc>
        <w:tc>
          <w:tcPr>
            <w:tcW w:w="134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392,133.14</w:t>
            </w:r>
          </w:p>
        </w:tc>
        <w:tc>
          <w:tcPr>
            <w:tcW w:w="11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0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140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20805</w:t>
            </w:r>
          </w:p>
        </w:tc>
        <w:tc>
          <w:tcPr>
            <w:tcW w:w="3838"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行政事业单位离退休</w:t>
            </w:r>
          </w:p>
        </w:tc>
        <w:tc>
          <w:tcPr>
            <w:tcW w:w="18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392,133.14</w:t>
            </w:r>
          </w:p>
        </w:tc>
        <w:tc>
          <w:tcPr>
            <w:tcW w:w="134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392,133.14</w:t>
            </w:r>
          </w:p>
        </w:tc>
        <w:tc>
          <w:tcPr>
            <w:tcW w:w="11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0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140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2080501</w:t>
            </w:r>
          </w:p>
        </w:tc>
        <w:tc>
          <w:tcPr>
            <w:tcW w:w="3838"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归口管理的行政单位离退休</w:t>
            </w:r>
          </w:p>
        </w:tc>
        <w:tc>
          <w:tcPr>
            <w:tcW w:w="18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22,680.00</w:t>
            </w:r>
          </w:p>
        </w:tc>
        <w:tc>
          <w:tcPr>
            <w:tcW w:w="134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22,680.00</w:t>
            </w:r>
          </w:p>
        </w:tc>
        <w:tc>
          <w:tcPr>
            <w:tcW w:w="11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0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140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2080505</w:t>
            </w:r>
          </w:p>
        </w:tc>
        <w:tc>
          <w:tcPr>
            <w:tcW w:w="3838"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机关事业单位基本养老保险缴费支出</w:t>
            </w:r>
          </w:p>
        </w:tc>
        <w:tc>
          <w:tcPr>
            <w:tcW w:w="18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369,453.14</w:t>
            </w:r>
          </w:p>
        </w:tc>
        <w:tc>
          <w:tcPr>
            <w:tcW w:w="134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369,453.14</w:t>
            </w:r>
          </w:p>
        </w:tc>
        <w:tc>
          <w:tcPr>
            <w:tcW w:w="11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0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140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210</w:t>
            </w:r>
          </w:p>
        </w:tc>
        <w:tc>
          <w:tcPr>
            <w:tcW w:w="3838"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卫生健康支出</w:t>
            </w:r>
          </w:p>
        </w:tc>
        <w:tc>
          <w:tcPr>
            <w:tcW w:w="18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34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1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0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140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21011</w:t>
            </w:r>
          </w:p>
        </w:tc>
        <w:tc>
          <w:tcPr>
            <w:tcW w:w="3838"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行政事业单位医疗</w:t>
            </w:r>
          </w:p>
        </w:tc>
        <w:tc>
          <w:tcPr>
            <w:tcW w:w="18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34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1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0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140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2101101</w:t>
            </w:r>
          </w:p>
        </w:tc>
        <w:tc>
          <w:tcPr>
            <w:tcW w:w="3838"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行政单位医疗</w:t>
            </w:r>
          </w:p>
        </w:tc>
        <w:tc>
          <w:tcPr>
            <w:tcW w:w="18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34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1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0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140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221</w:t>
            </w:r>
          </w:p>
        </w:tc>
        <w:tc>
          <w:tcPr>
            <w:tcW w:w="3838"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住房保障支出</w:t>
            </w:r>
          </w:p>
        </w:tc>
        <w:tc>
          <w:tcPr>
            <w:tcW w:w="18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34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1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0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140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22102</w:t>
            </w:r>
          </w:p>
        </w:tc>
        <w:tc>
          <w:tcPr>
            <w:tcW w:w="3838"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住房改革支出</w:t>
            </w:r>
          </w:p>
        </w:tc>
        <w:tc>
          <w:tcPr>
            <w:tcW w:w="18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34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1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0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140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2210201</w:t>
            </w:r>
          </w:p>
        </w:tc>
        <w:tc>
          <w:tcPr>
            <w:tcW w:w="3838"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住房公积金</w:t>
            </w:r>
          </w:p>
        </w:tc>
        <w:tc>
          <w:tcPr>
            <w:tcW w:w="1893"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34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1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81"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0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12780" w:type="dxa"/>
            <w:gridSpan w:val="1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注：本表反映部门本年度各项支出情况。本表金额转换为万元时，因四舍五入可能存在尾差。</w:t>
            </w:r>
          </w:p>
        </w:tc>
      </w:tr>
    </w:tbl>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both"/>
      </w:pPr>
    </w:p>
    <w:tbl>
      <w:tblPr>
        <w:tblW w:w="133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774"/>
        <w:gridCol w:w="511"/>
        <w:gridCol w:w="2913"/>
        <w:gridCol w:w="3097"/>
        <w:gridCol w:w="511"/>
        <w:gridCol w:w="1602"/>
        <w:gridCol w:w="1230"/>
        <w:gridCol w:w="712"/>
      </w:tblGrid>
      <w:tr>
        <w:trPr>
          <w:trHeight w:val="390" w:hRule="atLeast"/>
        </w:trPr>
        <w:tc>
          <w:tcPr>
            <w:tcW w:w="13350" w:type="dxa"/>
            <w:gridSpan w:val="8"/>
            <w:vAlign w:val="bottom"/>
          </w:tcPr>
          <w:p>
            <w:pPr>
              <w:widowControl/>
              <w:jc w:val="center"/>
              <w:textAlignment w:val="bottom"/>
              <w:rPr>
                <w:rFonts w:hint="eastAsia" w:ascii="宋体" w:hAnsi="宋体" w:eastAsia="宋体" w:cs="宋体"/>
                <w:i w:val="0"/>
                <w:color w:val="000000"/>
                <w:sz w:val="30"/>
                <w:szCs w:val="30"/>
                <w:u w:val="none"/>
              </w:rPr>
            </w:pPr>
            <w:r>
              <w:rPr>
                <w:rFonts w:hint="eastAsia" w:ascii="宋体" w:hAnsi="宋体" w:eastAsia="宋体" w:cs="宋体"/>
                <w:i w:val="0"/>
                <w:color w:val="000000"/>
                <w:kern w:val="0"/>
                <w:sz w:val="30"/>
                <w:szCs w:val="30"/>
                <w:u w:val="none"/>
                <w:lang w:val="en-US" w:eastAsia="zh-CN"/>
              </w:rPr>
              <w:t>财政拨款收入支出决算总表</w:t>
            </w:r>
          </w:p>
        </w:tc>
      </w:tr>
      <w:tr>
        <w:trPr>
          <w:trHeight w:val="286" w:hRule="atLeast"/>
        </w:trPr>
        <w:tc>
          <w:tcPr>
            <w:tcW w:w="2774" w:type="dxa"/>
            <w:vAlign w:val="bottom"/>
          </w:tcPr>
          <w:p>
            <w:pPr>
              <w:rPr>
                <w:rFonts w:hint="eastAsia" w:ascii="Arial" w:hAnsi="Arial" w:cs="Arial"/>
                <w:i w:val="0"/>
                <w:color w:val="000000"/>
                <w:sz w:val="20"/>
                <w:szCs w:val="20"/>
                <w:u w:val="none"/>
              </w:rPr>
            </w:pPr>
          </w:p>
        </w:tc>
        <w:tc>
          <w:tcPr>
            <w:tcW w:w="511" w:type="dxa"/>
            <w:vAlign w:val="bottom"/>
          </w:tcPr>
          <w:p>
            <w:pPr>
              <w:rPr>
                <w:rFonts w:hint="default" w:ascii="Arial" w:hAnsi="Arial" w:cs="Arial"/>
                <w:i w:val="0"/>
                <w:color w:val="000000"/>
                <w:sz w:val="20"/>
                <w:szCs w:val="20"/>
                <w:u w:val="none"/>
              </w:rPr>
            </w:pPr>
          </w:p>
        </w:tc>
        <w:tc>
          <w:tcPr>
            <w:tcW w:w="2913" w:type="dxa"/>
            <w:vAlign w:val="bottom"/>
          </w:tcPr>
          <w:p>
            <w:pPr>
              <w:rPr>
                <w:rFonts w:hint="default" w:ascii="Arial" w:hAnsi="Arial" w:cs="Arial"/>
                <w:i w:val="0"/>
                <w:color w:val="000000"/>
                <w:sz w:val="20"/>
                <w:szCs w:val="20"/>
                <w:u w:val="none"/>
              </w:rPr>
            </w:pPr>
          </w:p>
        </w:tc>
        <w:tc>
          <w:tcPr>
            <w:tcW w:w="3097" w:type="dxa"/>
            <w:vAlign w:val="bottom"/>
          </w:tcPr>
          <w:p>
            <w:pPr>
              <w:rPr>
                <w:rFonts w:hint="default" w:ascii="Arial" w:hAnsi="Arial" w:cs="Arial"/>
                <w:i w:val="0"/>
                <w:color w:val="000000"/>
                <w:sz w:val="20"/>
                <w:szCs w:val="20"/>
                <w:u w:val="none"/>
              </w:rPr>
            </w:pPr>
          </w:p>
        </w:tc>
        <w:tc>
          <w:tcPr>
            <w:tcW w:w="511" w:type="dxa"/>
            <w:vAlign w:val="bottom"/>
          </w:tcPr>
          <w:p>
            <w:pPr>
              <w:rPr>
                <w:rFonts w:hint="default" w:ascii="Arial" w:hAnsi="Arial" w:cs="Arial"/>
                <w:i w:val="0"/>
                <w:color w:val="000000"/>
                <w:sz w:val="20"/>
                <w:szCs w:val="20"/>
                <w:u w:val="none"/>
              </w:rPr>
            </w:pPr>
          </w:p>
        </w:tc>
        <w:tc>
          <w:tcPr>
            <w:tcW w:w="1602" w:type="dxa"/>
            <w:vAlign w:val="bottom"/>
          </w:tcPr>
          <w:p>
            <w:pPr>
              <w:rPr>
                <w:rFonts w:hint="default" w:ascii="Arial" w:hAnsi="Arial" w:cs="Arial"/>
                <w:i w:val="0"/>
                <w:color w:val="000000"/>
                <w:sz w:val="20"/>
                <w:szCs w:val="20"/>
                <w:u w:val="none"/>
              </w:rPr>
            </w:pPr>
          </w:p>
        </w:tc>
        <w:tc>
          <w:tcPr>
            <w:tcW w:w="1230" w:type="dxa"/>
            <w:vAlign w:val="bottom"/>
          </w:tcPr>
          <w:p>
            <w:pPr>
              <w:rPr>
                <w:rFonts w:hint="default" w:ascii="Arial" w:hAnsi="Arial" w:cs="Arial"/>
                <w:i w:val="0"/>
                <w:color w:val="000000"/>
                <w:sz w:val="20"/>
                <w:szCs w:val="20"/>
                <w:u w:val="none"/>
              </w:rPr>
            </w:pPr>
          </w:p>
        </w:tc>
        <w:tc>
          <w:tcPr>
            <w:tcW w:w="712"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公开04表</w:t>
            </w:r>
          </w:p>
        </w:tc>
      </w:tr>
      <w:tr>
        <w:trPr>
          <w:trHeight w:val="286" w:hRule="atLeast"/>
        </w:trPr>
        <w:tc>
          <w:tcPr>
            <w:tcW w:w="2774" w:type="dxa"/>
            <w:vAlign w:val="bottom"/>
          </w:tcPr>
          <w:p>
            <w:pPr>
              <w:widowControl/>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部门：三门峡市湖滨区司法局</w:t>
            </w:r>
          </w:p>
        </w:tc>
        <w:tc>
          <w:tcPr>
            <w:tcW w:w="511" w:type="dxa"/>
            <w:vAlign w:val="bottom"/>
          </w:tcPr>
          <w:p>
            <w:pPr>
              <w:rPr>
                <w:rFonts w:hint="default" w:ascii="Arial" w:hAnsi="Arial" w:cs="Arial"/>
                <w:i w:val="0"/>
                <w:color w:val="000000"/>
                <w:sz w:val="20"/>
                <w:szCs w:val="20"/>
                <w:u w:val="none"/>
              </w:rPr>
            </w:pPr>
          </w:p>
        </w:tc>
        <w:tc>
          <w:tcPr>
            <w:tcW w:w="2913" w:type="dxa"/>
            <w:vAlign w:val="bottom"/>
          </w:tcPr>
          <w:p>
            <w:pPr>
              <w:rPr>
                <w:rFonts w:hint="default" w:ascii="Arial" w:hAnsi="Arial" w:cs="Arial"/>
                <w:i w:val="0"/>
                <w:color w:val="000000"/>
                <w:sz w:val="20"/>
                <w:szCs w:val="20"/>
                <w:u w:val="none"/>
              </w:rPr>
            </w:pPr>
          </w:p>
        </w:tc>
        <w:tc>
          <w:tcPr>
            <w:tcW w:w="3097" w:type="dxa"/>
            <w:vAlign w:val="bottom"/>
          </w:tcPr>
          <w:p>
            <w:pPr>
              <w:rPr>
                <w:rFonts w:hint="default" w:ascii="Arial" w:hAnsi="Arial" w:cs="Arial"/>
                <w:i w:val="0"/>
                <w:color w:val="000000"/>
                <w:sz w:val="20"/>
                <w:szCs w:val="20"/>
                <w:u w:val="none"/>
              </w:rPr>
            </w:pPr>
          </w:p>
        </w:tc>
        <w:tc>
          <w:tcPr>
            <w:tcW w:w="511" w:type="dxa"/>
            <w:vAlign w:val="bottom"/>
          </w:tcPr>
          <w:p>
            <w:pPr>
              <w:rPr>
                <w:rFonts w:hint="default" w:ascii="Arial" w:hAnsi="Arial" w:cs="Arial"/>
                <w:i w:val="0"/>
                <w:color w:val="000000"/>
                <w:sz w:val="20"/>
                <w:szCs w:val="20"/>
                <w:u w:val="none"/>
              </w:rPr>
            </w:pPr>
          </w:p>
        </w:tc>
        <w:tc>
          <w:tcPr>
            <w:tcW w:w="1602" w:type="dxa"/>
            <w:vAlign w:val="bottom"/>
          </w:tcPr>
          <w:p>
            <w:pPr>
              <w:rPr>
                <w:rFonts w:hint="default" w:ascii="Arial" w:hAnsi="Arial" w:cs="Arial"/>
                <w:i w:val="0"/>
                <w:color w:val="000000"/>
                <w:sz w:val="20"/>
                <w:szCs w:val="20"/>
                <w:u w:val="none"/>
              </w:rPr>
            </w:pPr>
          </w:p>
        </w:tc>
        <w:tc>
          <w:tcPr>
            <w:tcW w:w="1230" w:type="dxa"/>
            <w:vAlign w:val="bottom"/>
          </w:tcPr>
          <w:p>
            <w:pPr>
              <w:rPr>
                <w:rFonts w:hint="default" w:ascii="Arial" w:hAnsi="Arial" w:cs="Arial"/>
                <w:i w:val="0"/>
                <w:color w:val="000000"/>
                <w:sz w:val="20"/>
                <w:szCs w:val="20"/>
                <w:u w:val="none"/>
              </w:rPr>
            </w:pPr>
          </w:p>
        </w:tc>
        <w:tc>
          <w:tcPr>
            <w:tcW w:w="712"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金额单位：元</w:t>
            </w:r>
          </w:p>
        </w:tc>
      </w:tr>
      <w:tr>
        <w:trPr>
          <w:trHeight w:val="301" w:hRule="atLeast"/>
        </w:trPr>
        <w:tc>
          <w:tcPr>
            <w:tcW w:w="6198"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收     入</w:t>
            </w:r>
          </w:p>
        </w:tc>
        <w:tc>
          <w:tcPr>
            <w:tcW w:w="7152" w:type="dxa"/>
            <w:gridSpan w:val="5"/>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支     出</w:t>
            </w:r>
          </w:p>
        </w:tc>
      </w:tr>
      <w:tr>
        <w:trPr>
          <w:trHeight w:val="285" w:hRule="atLeast"/>
        </w:trPr>
        <w:tc>
          <w:tcPr>
            <w:tcW w:w="2774" w:type="dxa"/>
            <w:vMerge w:val="restart"/>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项目</w:t>
            </w:r>
          </w:p>
        </w:tc>
        <w:tc>
          <w:tcPr>
            <w:tcW w:w="511"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行次</w:t>
            </w:r>
          </w:p>
        </w:tc>
        <w:tc>
          <w:tcPr>
            <w:tcW w:w="2913"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金额</w:t>
            </w:r>
          </w:p>
        </w:tc>
        <w:tc>
          <w:tcPr>
            <w:tcW w:w="3097"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项目</w:t>
            </w:r>
          </w:p>
        </w:tc>
        <w:tc>
          <w:tcPr>
            <w:tcW w:w="511"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行次</w:t>
            </w:r>
          </w:p>
        </w:tc>
        <w:tc>
          <w:tcPr>
            <w:tcW w:w="1602"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合计</w:t>
            </w:r>
          </w:p>
        </w:tc>
        <w:tc>
          <w:tcPr>
            <w:tcW w:w="1230"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一般公共预算财政拨款</w:t>
            </w:r>
          </w:p>
        </w:tc>
        <w:tc>
          <w:tcPr>
            <w:tcW w:w="712"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政府性基金预算财政拨款</w:t>
            </w:r>
          </w:p>
        </w:tc>
      </w:tr>
      <w:tr>
        <w:trPr>
          <w:trHeight w:val="615" w:hRule="atLeast"/>
        </w:trPr>
        <w:tc>
          <w:tcPr>
            <w:tcW w:w="2774" w:type="dxa"/>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511"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2913"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3097"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511"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1602"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1230"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712"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栏次</w:t>
            </w:r>
          </w:p>
        </w:tc>
        <w:tc>
          <w:tcPr>
            <w:tcW w:w="511" w:type="dxa"/>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2913"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w:t>
            </w:r>
          </w:p>
        </w:tc>
        <w:tc>
          <w:tcPr>
            <w:tcW w:w="3097"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栏次</w:t>
            </w:r>
          </w:p>
        </w:tc>
        <w:tc>
          <w:tcPr>
            <w:tcW w:w="511" w:type="dxa"/>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1602"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w:t>
            </w:r>
          </w:p>
        </w:tc>
        <w:tc>
          <w:tcPr>
            <w:tcW w:w="123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w:t>
            </w:r>
          </w:p>
        </w:tc>
        <w:tc>
          <w:tcPr>
            <w:tcW w:w="712"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一、一般公共预算财政拨款</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w:t>
            </w:r>
          </w:p>
        </w:tc>
        <w:tc>
          <w:tcPr>
            <w:tcW w:w="2913"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5,895,717.54</w:t>
            </w: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一、一般公共服务支出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二、政府性基金预算财政拨款</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w:t>
            </w:r>
          </w:p>
        </w:tc>
        <w:tc>
          <w:tcPr>
            <w:tcW w:w="2913"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二、外交支出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31</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三、国防支出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32</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四、公共安全支出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33</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4,596,744.82</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4,596,744.82</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五、教育支出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34</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6</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六、科学技术支出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35</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7</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七、文化旅游体育与传媒支出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36</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8</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八、社会保障和就业支出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37</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392,133.14</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392,133.14</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9</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九、卫生健康支出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38</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10</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十、节能环保支出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39</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11</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十一、城乡社区支出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40</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12</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十二、农林水支出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41</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13</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十三、交通运输支出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42</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14</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十四、资源勘探信息等支出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43</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15</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十五、商业服务业等支出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44</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16</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十六、金融支出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45</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17</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十七、援助其他地区支出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46</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18</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十八、自然资源海洋气象等支出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47</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19</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十九、住房保障支出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48</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二十、粮油物资储备支出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49</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21</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二十一、灾害防治及应急管理支出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50</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二十二、其他支出</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51</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23</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52</w:t>
            </w:r>
          </w:p>
        </w:tc>
        <w:tc>
          <w:tcPr>
            <w:tcW w:w="160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0"/>
                <w:szCs w:val="20"/>
                <w:u w:val="none"/>
              </w:rPr>
            </w:pPr>
          </w:p>
        </w:tc>
        <w:tc>
          <w:tcPr>
            <w:tcW w:w="1230"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0"/>
                <w:szCs w:val="20"/>
                <w:u w:val="none"/>
              </w:rPr>
            </w:pPr>
          </w:p>
        </w:tc>
        <w:tc>
          <w:tcPr>
            <w:tcW w:w="71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0"/>
                <w:szCs w:val="20"/>
                <w:u w:val="none"/>
              </w:rPr>
            </w:pP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rPr>
              <w:t>本年收入合计</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24</w:t>
            </w:r>
          </w:p>
        </w:tc>
        <w:tc>
          <w:tcPr>
            <w:tcW w:w="2913"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5,895,717.54</w:t>
            </w:r>
          </w:p>
        </w:tc>
        <w:tc>
          <w:tcPr>
            <w:tcW w:w="3097"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rPr>
              <w:t>本年支出合计</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53</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5,435,589.96</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5,435,589.96</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年初财政拨款结转和结余</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25</w:t>
            </w:r>
          </w:p>
        </w:tc>
        <w:tc>
          <w:tcPr>
            <w:tcW w:w="2913"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526,617.87</w:t>
            </w:r>
          </w:p>
        </w:tc>
        <w:tc>
          <w:tcPr>
            <w:tcW w:w="3097"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年末财政拨款结转和结余</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54</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986,745.45</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986,745.45</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一、一般公共预算财政拨款</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26</w:t>
            </w:r>
          </w:p>
        </w:tc>
        <w:tc>
          <w:tcPr>
            <w:tcW w:w="2913"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526,617.87</w:t>
            </w:r>
          </w:p>
        </w:tc>
        <w:tc>
          <w:tcPr>
            <w:tcW w:w="3097"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55</w:t>
            </w:r>
          </w:p>
        </w:tc>
        <w:tc>
          <w:tcPr>
            <w:tcW w:w="160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0"/>
                <w:szCs w:val="20"/>
                <w:u w:val="none"/>
              </w:rPr>
            </w:pPr>
          </w:p>
        </w:tc>
        <w:tc>
          <w:tcPr>
            <w:tcW w:w="1230"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0"/>
                <w:szCs w:val="20"/>
                <w:u w:val="none"/>
              </w:rPr>
            </w:pPr>
          </w:p>
        </w:tc>
        <w:tc>
          <w:tcPr>
            <w:tcW w:w="71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0"/>
                <w:szCs w:val="20"/>
                <w:u w:val="none"/>
              </w:rPr>
            </w:pP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二、政府性基金预算财政拨款</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27</w:t>
            </w:r>
          </w:p>
        </w:tc>
        <w:tc>
          <w:tcPr>
            <w:tcW w:w="2913"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3097"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56</w:t>
            </w:r>
          </w:p>
        </w:tc>
        <w:tc>
          <w:tcPr>
            <w:tcW w:w="160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0"/>
                <w:szCs w:val="20"/>
                <w:u w:val="none"/>
              </w:rPr>
            </w:pPr>
          </w:p>
        </w:tc>
        <w:tc>
          <w:tcPr>
            <w:tcW w:w="1230"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0"/>
                <w:szCs w:val="20"/>
                <w:u w:val="none"/>
              </w:rPr>
            </w:pPr>
          </w:p>
        </w:tc>
        <w:tc>
          <w:tcPr>
            <w:tcW w:w="71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0"/>
                <w:szCs w:val="20"/>
                <w:u w:val="none"/>
              </w:rPr>
            </w:pP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28</w:t>
            </w:r>
          </w:p>
        </w:tc>
        <w:tc>
          <w:tcPr>
            <w:tcW w:w="2913"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3097"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57</w:t>
            </w:r>
          </w:p>
        </w:tc>
        <w:tc>
          <w:tcPr>
            <w:tcW w:w="160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0"/>
                <w:szCs w:val="20"/>
                <w:u w:val="none"/>
              </w:rPr>
            </w:pPr>
          </w:p>
        </w:tc>
        <w:tc>
          <w:tcPr>
            <w:tcW w:w="1230"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0"/>
                <w:szCs w:val="20"/>
                <w:u w:val="none"/>
              </w:rPr>
            </w:pPr>
          </w:p>
        </w:tc>
        <w:tc>
          <w:tcPr>
            <w:tcW w:w="71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0"/>
                <w:szCs w:val="20"/>
                <w:u w:val="none"/>
              </w:rPr>
            </w:pPr>
          </w:p>
        </w:tc>
      </w:tr>
      <w:tr>
        <w:trPr>
          <w:trHeight w:val="301" w:hRule="atLeast"/>
        </w:trPr>
        <w:tc>
          <w:tcPr>
            <w:tcW w:w="2774" w:type="dxa"/>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rPr>
              <w:t>总计</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29</w:t>
            </w:r>
          </w:p>
        </w:tc>
        <w:tc>
          <w:tcPr>
            <w:tcW w:w="2913"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6,422,335.41</w:t>
            </w:r>
          </w:p>
        </w:tc>
        <w:tc>
          <w:tcPr>
            <w:tcW w:w="3097"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rPr>
              <w:t>总计</w:t>
            </w:r>
          </w:p>
        </w:tc>
        <w:tc>
          <w:tcPr>
            <w:tcW w:w="511"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58</w:t>
            </w:r>
          </w:p>
        </w:tc>
        <w:tc>
          <w:tcPr>
            <w:tcW w:w="160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6,422,335.41</w:t>
            </w:r>
          </w:p>
        </w:tc>
        <w:tc>
          <w:tcPr>
            <w:tcW w:w="123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6,422,335.41</w:t>
            </w:r>
          </w:p>
        </w:tc>
        <w:tc>
          <w:tcPr>
            <w:tcW w:w="71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540" w:hRule="atLeast"/>
        </w:trPr>
        <w:tc>
          <w:tcPr>
            <w:tcW w:w="13350" w:type="dxa"/>
            <w:gridSpan w:val="8"/>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注：本表反映部门本年度一般公共预算财政拨款和政府性基金预算财政拨款的总收支和年末结转结余情况。本表金额转换为万元时，因四舍五入可能存在尾差。</w:t>
            </w:r>
          </w:p>
        </w:tc>
      </w:tr>
    </w:tbl>
    <w:p>
      <w:pPr>
        <w:jc w:val="both"/>
      </w:pPr>
    </w:p>
    <w:tbl>
      <w:tblPr>
        <w:tblW w:w="10350" w:type="dxa"/>
        <w:jc w:val="center"/>
        <w:tblInd w:w="181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279"/>
        <w:gridCol w:w="52"/>
        <w:gridCol w:w="52"/>
        <w:gridCol w:w="3434"/>
        <w:gridCol w:w="2125"/>
        <w:gridCol w:w="1250"/>
        <w:gridCol w:w="2158"/>
      </w:tblGrid>
      <w:tr>
        <w:trPr>
          <w:trHeight w:val="390" w:hRule="atLeast"/>
          <w:jc w:val="center"/>
        </w:trPr>
        <w:tc>
          <w:tcPr>
            <w:tcW w:w="10350" w:type="dxa"/>
            <w:gridSpan w:val="7"/>
            <w:vAlign w:val="bottom"/>
          </w:tcPr>
          <w:p>
            <w:pPr>
              <w:widowControl/>
              <w:jc w:val="center"/>
              <w:textAlignment w:val="bottom"/>
              <w:rPr>
                <w:rFonts w:hint="eastAsia" w:ascii="宋体" w:hAnsi="宋体" w:eastAsia="宋体" w:cs="宋体"/>
                <w:i w:val="0"/>
                <w:color w:val="000000"/>
                <w:sz w:val="30"/>
                <w:szCs w:val="30"/>
                <w:u w:val="none"/>
              </w:rPr>
            </w:pPr>
            <w:r>
              <w:rPr>
                <w:rFonts w:hint="eastAsia" w:ascii="宋体" w:hAnsi="宋体" w:eastAsia="宋体" w:cs="宋体"/>
                <w:i w:val="0"/>
                <w:color w:val="000000"/>
                <w:kern w:val="0"/>
                <w:sz w:val="30"/>
                <w:szCs w:val="30"/>
                <w:u w:val="none"/>
                <w:lang w:val="en-US" w:eastAsia="zh-CN"/>
              </w:rPr>
              <w:t>一般公共预算财政拨款支出决算表</w:t>
            </w:r>
          </w:p>
        </w:tc>
      </w:tr>
      <w:tr>
        <w:trPr>
          <w:trHeight w:val="286" w:hRule="atLeast"/>
          <w:jc w:val="center"/>
        </w:trPr>
        <w:tc>
          <w:tcPr>
            <w:tcW w:w="1279" w:type="dxa"/>
            <w:vAlign w:val="bottom"/>
          </w:tcPr>
          <w:p>
            <w:pPr>
              <w:rPr>
                <w:rFonts w:hint="eastAsia" w:ascii="Arial" w:hAnsi="Arial" w:cs="Arial"/>
                <w:i w:val="0"/>
                <w:color w:val="000000"/>
                <w:sz w:val="20"/>
                <w:szCs w:val="20"/>
                <w:u w:val="none"/>
              </w:rPr>
            </w:pPr>
          </w:p>
        </w:tc>
        <w:tc>
          <w:tcPr>
            <w:tcW w:w="52" w:type="dxa"/>
            <w:vAlign w:val="bottom"/>
          </w:tcPr>
          <w:p>
            <w:pPr>
              <w:rPr>
                <w:rFonts w:hint="default" w:ascii="Arial" w:hAnsi="Arial" w:cs="Arial"/>
                <w:i w:val="0"/>
                <w:color w:val="000000"/>
                <w:sz w:val="20"/>
                <w:szCs w:val="20"/>
                <w:u w:val="none"/>
              </w:rPr>
            </w:pPr>
          </w:p>
        </w:tc>
        <w:tc>
          <w:tcPr>
            <w:tcW w:w="52" w:type="dxa"/>
            <w:vAlign w:val="bottom"/>
          </w:tcPr>
          <w:p>
            <w:pPr>
              <w:rPr>
                <w:rFonts w:hint="default" w:ascii="Arial" w:hAnsi="Arial" w:cs="Arial"/>
                <w:i w:val="0"/>
                <w:color w:val="000000"/>
                <w:sz w:val="20"/>
                <w:szCs w:val="20"/>
                <w:u w:val="none"/>
              </w:rPr>
            </w:pPr>
          </w:p>
        </w:tc>
        <w:tc>
          <w:tcPr>
            <w:tcW w:w="3434" w:type="dxa"/>
            <w:vAlign w:val="bottom"/>
          </w:tcPr>
          <w:p>
            <w:pPr>
              <w:rPr>
                <w:rFonts w:hint="default" w:ascii="Arial" w:hAnsi="Arial" w:cs="Arial"/>
                <w:i w:val="0"/>
                <w:color w:val="000000"/>
                <w:sz w:val="20"/>
                <w:szCs w:val="20"/>
                <w:u w:val="none"/>
              </w:rPr>
            </w:pPr>
          </w:p>
        </w:tc>
        <w:tc>
          <w:tcPr>
            <w:tcW w:w="2125" w:type="dxa"/>
            <w:vAlign w:val="bottom"/>
          </w:tcPr>
          <w:p>
            <w:pPr>
              <w:rPr>
                <w:rFonts w:hint="default" w:ascii="Arial" w:hAnsi="Arial" w:cs="Arial"/>
                <w:i w:val="0"/>
                <w:color w:val="000000"/>
                <w:sz w:val="20"/>
                <w:szCs w:val="20"/>
                <w:u w:val="none"/>
              </w:rPr>
            </w:pPr>
          </w:p>
        </w:tc>
        <w:tc>
          <w:tcPr>
            <w:tcW w:w="1250" w:type="dxa"/>
            <w:vAlign w:val="bottom"/>
          </w:tcPr>
          <w:p>
            <w:pPr>
              <w:rPr>
                <w:rFonts w:hint="default" w:ascii="Arial" w:hAnsi="Arial" w:cs="Arial"/>
                <w:i w:val="0"/>
                <w:color w:val="000000"/>
                <w:sz w:val="20"/>
                <w:szCs w:val="20"/>
                <w:u w:val="none"/>
              </w:rPr>
            </w:pPr>
          </w:p>
        </w:tc>
        <w:tc>
          <w:tcPr>
            <w:tcW w:w="2158"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公开05表</w:t>
            </w:r>
          </w:p>
        </w:tc>
      </w:tr>
      <w:tr>
        <w:trPr>
          <w:trHeight w:val="286" w:hRule="atLeast"/>
          <w:jc w:val="center"/>
        </w:trPr>
        <w:tc>
          <w:tcPr>
            <w:tcW w:w="1279" w:type="dxa"/>
            <w:vAlign w:val="bottom"/>
          </w:tcPr>
          <w:p>
            <w:pPr>
              <w:widowControl/>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部门：三门峡市湖滨区司法局</w:t>
            </w:r>
          </w:p>
        </w:tc>
        <w:tc>
          <w:tcPr>
            <w:tcW w:w="52" w:type="dxa"/>
            <w:vAlign w:val="bottom"/>
          </w:tcPr>
          <w:p>
            <w:pPr>
              <w:rPr>
                <w:rFonts w:hint="default" w:ascii="Arial" w:hAnsi="Arial" w:cs="Arial"/>
                <w:i w:val="0"/>
                <w:color w:val="000000"/>
                <w:sz w:val="20"/>
                <w:szCs w:val="20"/>
                <w:u w:val="none"/>
              </w:rPr>
            </w:pPr>
          </w:p>
        </w:tc>
        <w:tc>
          <w:tcPr>
            <w:tcW w:w="52" w:type="dxa"/>
            <w:vAlign w:val="bottom"/>
          </w:tcPr>
          <w:p>
            <w:pPr>
              <w:rPr>
                <w:rFonts w:hint="default" w:ascii="Arial" w:hAnsi="Arial" w:cs="Arial"/>
                <w:i w:val="0"/>
                <w:color w:val="000000"/>
                <w:sz w:val="20"/>
                <w:szCs w:val="20"/>
                <w:u w:val="none"/>
              </w:rPr>
            </w:pPr>
          </w:p>
        </w:tc>
        <w:tc>
          <w:tcPr>
            <w:tcW w:w="3434" w:type="dxa"/>
            <w:vAlign w:val="bottom"/>
          </w:tcPr>
          <w:p>
            <w:pPr>
              <w:rPr>
                <w:rFonts w:hint="default" w:ascii="Arial" w:hAnsi="Arial" w:cs="Arial"/>
                <w:i w:val="0"/>
                <w:color w:val="000000"/>
                <w:sz w:val="20"/>
                <w:szCs w:val="20"/>
                <w:u w:val="none"/>
              </w:rPr>
            </w:pPr>
          </w:p>
        </w:tc>
        <w:tc>
          <w:tcPr>
            <w:tcW w:w="2125" w:type="dxa"/>
            <w:vAlign w:val="bottom"/>
          </w:tcPr>
          <w:p>
            <w:pPr>
              <w:rPr>
                <w:rFonts w:hint="default" w:ascii="Arial" w:hAnsi="Arial" w:cs="Arial"/>
                <w:i w:val="0"/>
                <w:color w:val="000000"/>
                <w:sz w:val="20"/>
                <w:szCs w:val="20"/>
                <w:u w:val="none"/>
              </w:rPr>
            </w:pPr>
          </w:p>
        </w:tc>
        <w:tc>
          <w:tcPr>
            <w:tcW w:w="1250" w:type="dxa"/>
            <w:vAlign w:val="bottom"/>
          </w:tcPr>
          <w:p>
            <w:pPr>
              <w:rPr>
                <w:rFonts w:hint="default" w:ascii="Arial" w:hAnsi="Arial" w:cs="Arial"/>
                <w:i w:val="0"/>
                <w:color w:val="000000"/>
                <w:sz w:val="20"/>
                <w:szCs w:val="20"/>
                <w:u w:val="none"/>
              </w:rPr>
            </w:pPr>
          </w:p>
        </w:tc>
        <w:tc>
          <w:tcPr>
            <w:tcW w:w="2158"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金额单位：元</w:t>
            </w:r>
          </w:p>
        </w:tc>
      </w:tr>
      <w:tr>
        <w:trPr>
          <w:trHeight w:val="301" w:hRule="atLeast"/>
          <w:jc w:val="center"/>
        </w:trPr>
        <w:tc>
          <w:tcPr>
            <w:tcW w:w="4817" w:type="dxa"/>
            <w:gridSpan w:val="4"/>
            <w:tcBorders>
              <w:top w:val="single" w:color="000000" w:sz="4" w:space="0"/>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项目</w:t>
            </w:r>
          </w:p>
        </w:tc>
        <w:tc>
          <w:tcPr>
            <w:tcW w:w="5533" w:type="dxa"/>
            <w:gridSpan w:val="3"/>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本年支出</w:t>
            </w:r>
          </w:p>
        </w:tc>
      </w:tr>
      <w:tr>
        <w:trPr>
          <w:trHeight w:val="300" w:hRule="atLeast"/>
          <w:jc w:val="center"/>
        </w:trPr>
        <w:tc>
          <w:tcPr>
            <w:tcW w:w="1383" w:type="dxa"/>
            <w:gridSpan w:val="3"/>
            <w:vMerge w:val="restart"/>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功能分类科目编码</w:t>
            </w:r>
          </w:p>
        </w:tc>
        <w:tc>
          <w:tcPr>
            <w:tcW w:w="3434"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科目名称</w:t>
            </w:r>
          </w:p>
        </w:tc>
        <w:tc>
          <w:tcPr>
            <w:tcW w:w="2125"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小计</w:t>
            </w:r>
          </w:p>
        </w:tc>
        <w:tc>
          <w:tcPr>
            <w:tcW w:w="1250"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基本支出</w:t>
            </w:r>
          </w:p>
        </w:tc>
        <w:tc>
          <w:tcPr>
            <w:tcW w:w="2158"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项目支出</w:t>
            </w:r>
          </w:p>
        </w:tc>
      </w:tr>
      <w:tr>
        <w:trPr>
          <w:trHeight w:val="270" w:hRule="atLeast"/>
          <w:jc w:val="center"/>
        </w:trPr>
        <w:tc>
          <w:tcPr>
            <w:tcW w:w="1383" w:type="dxa"/>
            <w:gridSpan w:val="3"/>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3434"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2125"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1250"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2158"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r>
      <w:tr>
        <w:trPr>
          <w:trHeight w:val="300" w:hRule="atLeast"/>
          <w:jc w:val="center"/>
        </w:trPr>
        <w:tc>
          <w:tcPr>
            <w:tcW w:w="1383" w:type="dxa"/>
            <w:gridSpan w:val="3"/>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3434"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2125"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1250"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2158"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r>
      <w:tr>
        <w:trPr>
          <w:trHeight w:val="301" w:hRule="atLeast"/>
          <w:jc w:val="center"/>
        </w:trPr>
        <w:tc>
          <w:tcPr>
            <w:tcW w:w="4817" w:type="dxa"/>
            <w:gridSpan w:val="4"/>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栏次</w:t>
            </w:r>
          </w:p>
        </w:tc>
        <w:tc>
          <w:tcPr>
            <w:tcW w:w="212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w:t>
            </w:r>
          </w:p>
        </w:tc>
        <w:tc>
          <w:tcPr>
            <w:tcW w:w="125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w:t>
            </w:r>
          </w:p>
        </w:tc>
        <w:tc>
          <w:tcPr>
            <w:tcW w:w="2158"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w:t>
            </w:r>
          </w:p>
        </w:tc>
      </w:tr>
      <w:tr>
        <w:trPr>
          <w:trHeight w:val="301" w:hRule="atLeast"/>
          <w:jc w:val="center"/>
        </w:trPr>
        <w:tc>
          <w:tcPr>
            <w:tcW w:w="4817" w:type="dxa"/>
            <w:gridSpan w:val="4"/>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合计</w:t>
            </w:r>
          </w:p>
        </w:tc>
        <w:tc>
          <w:tcPr>
            <w:tcW w:w="212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rPr>
              <w:t>5,435,589.96</w:t>
            </w:r>
          </w:p>
        </w:tc>
        <w:tc>
          <w:tcPr>
            <w:tcW w:w="12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rPr>
              <w:t>4,985,997.74</w:t>
            </w:r>
          </w:p>
        </w:tc>
        <w:tc>
          <w:tcPr>
            <w:tcW w:w="215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rPr>
              <w:t>449,592.22</w:t>
            </w:r>
          </w:p>
        </w:tc>
      </w:tr>
      <w:tr>
        <w:trPr>
          <w:trHeight w:val="301" w:hRule="atLeast"/>
          <w:jc w:val="center"/>
        </w:trPr>
        <w:tc>
          <w:tcPr>
            <w:tcW w:w="138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204</w:t>
            </w:r>
          </w:p>
        </w:tc>
        <w:tc>
          <w:tcPr>
            <w:tcW w:w="3434"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公共安全支出</w:t>
            </w:r>
          </w:p>
        </w:tc>
        <w:tc>
          <w:tcPr>
            <w:tcW w:w="212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4,596,744.82</w:t>
            </w:r>
          </w:p>
        </w:tc>
        <w:tc>
          <w:tcPr>
            <w:tcW w:w="12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4,147,152.60</w:t>
            </w:r>
          </w:p>
        </w:tc>
        <w:tc>
          <w:tcPr>
            <w:tcW w:w="215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449,592.22</w:t>
            </w:r>
          </w:p>
        </w:tc>
      </w:tr>
      <w:tr>
        <w:trPr>
          <w:trHeight w:val="301" w:hRule="atLeast"/>
          <w:jc w:val="center"/>
        </w:trPr>
        <w:tc>
          <w:tcPr>
            <w:tcW w:w="138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20406</w:t>
            </w:r>
          </w:p>
        </w:tc>
        <w:tc>
          <w:tcPr>
            <w:tcW w:w="3434"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司法</w:t>
            </w:r>
          </w:p>
        </w:tc>
        <w:tc>
          <w:tcPr>
            <w:tcW w:w="212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4,435,624.82</w:t>
            </w:r>
          </w:p>
        </w:tc>
        <w:tc>
          <w:tcPr>
            <w:tcW w:w="12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3,986,032.60</w:t>
            </w:r>
          </w:p>
        </w:tc>
        <w:tc>
          <w:tcPr>
            <w:tcW w:w="215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449,592.22</w:t>
            </w:r>
          </w:p>
        </w:tc>
      </w:tr>
      <w:tr>
        <w:trPr>
          <w:trHeight w:val="301" w:hRule="atLeast"/>
          <w:jc w:val="center"/>
        </w:trPr>
        <w:tc>
          <w:tcPr>
            <w:tcW w:w="138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2040601</w:t>
            </w:r>
          </w:p>
        </w:tc>
        <w:tc>
          <w:tcPr>
            <w:tcW w:w="3434"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行政运行</w:t>
            </w:r>
          </w:p>
        </w:tc>
        <w:tc>
          <w:tcPr>
            <w:tcW w:w="212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3,522,451.60</w:t>
            </w:r>
          </w:p>
        </w:tc>
        <w:tc>
          <w:tcPr>
            <w:tcW w:w="12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3,522,451.60</w:t>
            </w:r>
          </w:p>
        </w:tc>
        <w:tc>
          <w:tcPr>
            <w:tcW w:w="215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jc w:val="center"/>
        </w:trPr>
        <w:tc>
          <w:tcPr>
            <w:tcW w:w="138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2040602</w:t>
            </w:r>
          </w:p>
        </w:tc>
        <w:tc>
          <w:tcPr>
            <w:tcW w:w="3434"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一般行政管理事务</w:t>
            </w:r>
          </w:p>
        </w:tc>
        <w:tc>
          <w:tcPr>
            <w:tcW w:w="212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449,592.22</w:t>
            </w:r>
          </w:p>
        </w:tc>
        <w:tc>
          <w:tcPr>
            <w:tcW w:w="12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215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449,592.22</w:t>
            </w:r>
          </w:p>
        </w:tc>
      </w:tr>
      <w:tr>
        <w:trPr>
          <w:trHeight w:val="301" w:hRule="atLeast"/>
          <w:jc w:val="center"/>
        </w:trPr>
        <w:tc>
          <w:tcPr>
            <w:tcW w:w="138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2040699</w:t>
            </w:r>
          </w:p>
        </w:tc>
        <w:tc>
          <w:tcPr>
            <w:tcW w:w="3434"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其他司法支出</w:t>
            </w:r>
          </w:p>
        </w:tc>
        <w:tc>
          <w:tcPr>
            <w:tcW w:w="212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463,581.00</w:t>
            </w:r>
          </w:p>
        </w:tc>
        <w:tc>
          <w:tcPr>
            <w:tcW w:w="12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463,581.00</w:t>
            </w:r>
          </w:p>
        </w:tc>
        <w:tc>
          <w:tcPr>
            <w:tcW w:w="215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jc w:val="center"/>
        </w:trPr>
        <w:tc>
          <w:tcPr>
            <w:tcW w:w="138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20499</w:t>
            </w:r>
          </w:p>
        </w:tc>
        <w:tc>
          <w:tcPr>
            <w:tcW w:w="3434"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其他公共安全支出</w:t>
            </w:r>
          </w:p>
        </w:tc>
        <w:tc>
          <w:tcPr>
            <w:tcW w:w="212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161,120.00</w:t>
            </w:r>
          </w:p>
        </w:tc>
        <w:tc>
          <w:tcPr>
            <w:tcW w:w="12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161,120.00</w:t>
            </w:r>
          </w:p>
        </w:tc>
        <w:tc>
          <w:tcPr>
            <w:tcW w:w="215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jc w:val="center"/>
        </w:trPr>
        <w:tc>
          <w:tcPr>
            <w:tcW w:w="138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2049901</w:t>
            </w:r>
          </w:p>
        </w:tc>
        <w:tc>
          <w:tcPr>
            <w:tcW w:w="3434"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其他公共安全支出</w:t>
            </w:r>
          </w:p>
        </w:tc>
        <w:tc>
          <w:tcPr>
            <w:tcW w:w="212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161,120.00</w:t>
            </w:r>
          </w:p>
        </w:tc>
        <w:tc>
          <w:tcPr>
            <w:tcW w:w="12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161,120.00</w:t>
            </w:r>
          </w:p>
        </w:tc>
        <w:tc>
          <w:tcPr>
            <w:tcW w:w="215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jc w:val="center"/>
        </w:trPr>
        <w:tc>
          <w:tcPr>
            <w:tcW w:w="138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208</w:t>
            </w:r>
          </w:p>
        </w:tc>
        <w:tc>
          <w:tcPr>
            <w:tcW w:w="3434"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社会保障和就业支出</w:t>
            </w:r>
          </w:p>
        </w:tc>
        <w:tc>
          <w:tcPr>
            <w:tcW w:w="212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392,133.14</w:t>
            </w:r>
          </w:p>
        </w:tc>
        <w:tc>
          <w:tcPr>
            <w:tcW w:w="12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392,133.14</w:t>
            </w:r>
          </w:p>
        </w:tc>
        <w:tc>
          <w:tcPr>
            <w:tcW w:w="215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jc w:val="center"/>
        </w:trPr>
        <w:tc>
          <w:tcPr>
            <w:tcW w:w="138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20805</w:t>
            </w:r>
          </w:p>
        </w:tc>
        <w:tc>
          <w:tcPr>
            <w:tcW w:w="3434"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行政事业单位离退休</w:t>
            </w:r>
          </w:p>
        </w:tc>
        <w:tc>
          <w:tcPr>
            <w:tcW w:w="212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392,133.14</w:t>
            </w:r>
          </w:p>
        </w:tc>
        <w:tc>
          <w:tcPr>
            <w:tcW w:w="12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392,133.14</w:t>
            </w:r>
          </w:p>
        </w:tc>
        <w:tc>
          <w:tcPr>
            <w:tcW w:w="215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jc w:val="center"/>
        </w:trPr>
        <w:tc>
          <w:tcPr>
            <w:tcW w:w="138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2080501</w:t>
            </w:r>
          </w:p>
        </w:tc>
        <w:tc>
          <w:tcPr>
            <w:tcW w:w="3434"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归口管理的行政单位离退休</w:t>
            </w:r>
          </w:p>
        </w:tc>
        <w:tc>
          <w:tcPr>
            <w:tcW w:w="212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22,680.00</w:t>
            </w:r>
          </w:p>
        </w:tc>
        <w:tc>
          <w:tcPr>
            <w:tcW w:w="12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22,680.00</w:t>
            </w:r>
          </w:p>
        </w:tc>
        <w:tc>
          <w:tcPr>
            <w:tcW w:w="215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jc w:val="center"/>
        </w:trPr>
        <w:tc>
          <w:tcPr>
            <w:tcW w:w="138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2080505</w:t>
            </w:r>
          </w:p>
        </w:tc>
        <w:tc>
          <w:tcPr>
            <w:tcW w:w="3434"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机关事业单位基本养老保险缴费支出</w:t>
            </w:r>
          </w:p>
        </w:tc>
        <w:tc>
          <w:tcPr>
            <w:tcW w:w="212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369,453.14</w:t>
            </w:r>
          </w:p>
        </w:tc>
        <w:tc>
          <w:tcPr>
            <w:tcW w:w="12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369,453.14</w:t>
            </w:r>
          </w:p>
        </w:tc>
        <w:tc>
          <w:tcPr>
            <w:tcW w:w="215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jc w:val="center"/>
        </w:trPr>
        <w:tc>
          <w:tcPr>
            <w:tcW w:w="138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210</w:t>
            </w:r>
          </w:p>
        </w:tc>
        <w:tc>
          <w:tcPr>
            <w:tcW w:w="3434"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卫生健康支出</w:t>
            </w:r>
          </w:p>
        </w:tc>
        <w:tc>
          <w:tcPr>
            <w:tcW w:w="212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2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215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jc w:val="center"/>
        </w:trPr>
        <w:tc>
          <w:tcPr>
            <w:tcW w:w="138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21011</w:t>
            </w:r>
          </w:p>
        </w:tc>
        <w:tc>
          <w:tcPr>
            <w:tcW w:w="3434"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行政事业单位医疗</w:t>
            </w:r>
          </w:p>
        </w:tc>
        <w:tc>
          <w:tcPr>
            <w:tcW w:w="212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2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215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jc w:val="center"/>
        </w:trPr>
        <w:tc>
          <w:tcPr>
            <w:tcW w:w="138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2101101</w:t>
            </w:r>
          </w:p>
        </w:tc>
        <w:tc>
          <w:tcPr>
            <w:tcW w:w="3434"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行政单位医疗</w:t>
            </w:r>
          </w:p>
        </w:tc>
        <w:tc>
          <w:tcPr>
            <w:tcW w:w="212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2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215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jc w:val="center"/>
        </w:trPr>
        <w:tc>
          <w:tcPr>
            <w:tcW w:w="138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221</w:t>
            </w:r>
          </w:p>
        </w:tc>
        <w:tc>
          <w:tcPr>
            <w:tcW w:w="3434"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住房保障支出</w:t>
            </w:r>
          </w:p>
        </w:tc>
        <w:tc>
          <w:tcPr>
            <w:tcW w:w="212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2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215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jc w:val="center"/>
        </w:trPr>
        <w:tc>
          <w:tcPr>
            <w:tcW w:w="138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22102</w:t>
            </w:r>
          </w:p>
        </w:tc>
        <w:tc>
          <w:tcPr>
            <w:tcW w:w="3434"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住房改革支出</w:t>
            </w:r>
          </w:p>
        </w:tc>
        <w:tc>
          <w:tcPr>
            <w:tcW w:w="212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2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215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jc w:val="center"/>
        </w:trPr>
        <w:tc>
          <w:tcPr>
            <w:tcW w:w="1383" w:type="dxa"/>
            <w:gridSpan w:val="3"/>
            <w:tcBorders>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2210201</w:t>
            </w:r>
          </w:p>
        </w:tc>
        <w:tc>
          <w:tcPr>
            <w:tcW w:w="3434" w:type="dxa"/>
            <w:tcBorders>
              <w:bottom w:val="single" w:color="000000" w:sz="4" w:space="0"/>
              <w:right w:val="single" w:color="000000" w:sz="4" w:space="0"/>
            </w:tcBorders>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住房公积金</w:t>
            </w:r>
          </w:p>
        </w:tc>
        <w:tc>
          <w:tcPr>
            <w:tcW w:w="212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125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223,356.00</w:t>
            </w:r>
          </w:p>
        </w:tc>
        <w:tc>
          <w:tcPr>
            <w:tcW w:w="2158"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jc w:val="center"/>
        </w:trPr>
        <w:tc>
          <w:tcPr>
            <w:tcW w:w="10350" w:type="dxa"/>
            <w:gridSpan w:val="7"/>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注：本表反映部门本年度一般公共预算财政拨款支出情况。本表金额转换为万元时，因四舍五入可能存在尾差。</w:t>
            </w:r>
          </w:p>
        </w:tc>
      </w:tr>
    </w:tbl>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tbl>
      <w:tblPr>
        <w:tblW w:w="147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34"/>
        <w:gridCol w:w="2625"/>
        <w:gridCol w:w="1591"/>
        <w:gridCol w:w="735"/>
        <w:gridCol w:w="2100"/>
        <w:gridCol w:w="1441"/>
        <w:gridCol w:w="735"/>
        <w:gridCol w:w="3614"/>
        <w:gridCol w:w="1200"/>
      </w:tblGrid>
      <w:tr>
        <w:trPr>
          <w:trHeight w:val="390" w:hRule="atLeast"/>
        </w:trPr>
        <w:tc>
          <w:tcPr>
            <w:tcW w:w="14775" w:type="dxa"/>
            <w:gridSpan w:val="9"/>
            <w:vAlign w:val="bottom"/>
          </w:tcPr>
          <w:p>
            <w:pPr>
              <w:widowControl/>
              <w:jc w:val="center"/>
              <w:textAlignment w:val="bottom"/>
              <w:rPr>
                <w:rFonts w:hint="eastAsia" w:ascii="宋体" w:hAnsi="宋体" w:eastAsia="宋体" w:cs="宋体"/>
                <w:i w:val="0"/>
                <w:color w:val="000000"/>
                <w:sz w:val="30"/>
                <w:szCs w:val="30"/>
                <w:u w:val="none"/>
              </w:rPr>
            </w:pPr>
            <w:r>
              <w:rPr>
                <w:rFonts w:hint="eastAsia" w:ascii="宋体" w:hAnsi="宋体" w:eastAsia="宋体" w:cs="宋体"/>
                <w:i w:val="0"/>
                <w:color w:val="000000"/>
                <w:kern w:val="0"/>
                <w:sz w:val="30"/>
                <w:szCs w:val="30"/>
                <w:u w:val="none"/>
                <w:lang w:val="en-US" w:eastAsia="zh-CN"/>
              </w:rPr>
              <w:t>一般公共预算财政拨款基本支出决算表</w:t>
            </w:r>
          </w:p>
        </w:tc>
      </w:tr>
      <w:tr>
        <w:trPr>
          <w:trHeight w:val="286" w:hRule="atLeast"/>
        </w:trPr>
        <w:tc>
          <w:tcPr>
            <w:tcW w:w="734" w:type="dxa"/>
            <w:vAlign w:val="bottom"/>
          </w:tcPr>
          <w:p>
            <w:pPr>
              <w:rPr>
                <w:rFonts w:hint="eastAsia" w:ascii="Arial" w:hAnsi="Arial" w:cs="Arial"/>
                <w:i w:val="0"/>
                <w:color w:val="000000"/>
                <w:sz w:val="20"/>
                <w:szCs w:val="20"/>
                <w:u w:val="none"/>
              </w:rPr>
            </w:pPr>
          </w:p>
        </w:tc>
        <w:tc>
          <w:tcPr>
            <w:tcW w:w="2625" w:type="dxa"/>
            <w:vAlign w:val="bottom"/>
          </w:tcPr>
          <w:p>
            <w:pPr>
              <w:rPr>
                <w:rFonts w:hint="default" w:ascii="Arial" w:hAnsi="Arial" w:cs="Arial"/>
                <w:i w:val="0"/>
                <w:color w:val="000000"/>
                <w:sz w:val="20"/>
                <w:szCs w:val="20"/>
                <w:u w:val="none"/>
              </w:rPr>
            </w:pPr>
          </w:p>
        </w:tc>
        <w:tc>
          <w:tcPr>
            <w:tcW w:w="1591" w:type="dxa"/>
            <w:vAlign w:val="bottom"/>
          </w:tcPr>
          <w:p>
            <w:pPr>
              <w:rPr>
                <w:rFonts w:hint="default" w:ascii="Arial" w:hAnsi="Arial" w:cs="Arial"/>
                <w:i w:val="0"/>
                <w:color w:val="000000"/>
                <w:sz w:val="20"/>
                <w:szCs w:val="20"/>
                <w:u w:val="none"/>
              </w:rPr>
            </w:pPr>
          </w:p>
        </w:tc>
        <w:tc>
          <w:tcPr>
            <w:tcW w:w="735" w:type="dxa"/>
            <w:vAlign w:val="bottom"/>
          </w:tcPr>
          <w:p>
            <w:pPr>
              <w:rPr>
                <w:rFonts w:hint="default" w:ascii="Arial" w:hAnsi="Arial" w:cs="Arial"/>
                <w:i w:val="0"/>
                <w:color w:val="000000"/>
                <w:sz w:val="20"/>
                <w:szCs w:val="20"/>
                <w:u w:val="none"/>
              </w:rPr>
            </w:pPr>
          </w:p>
        </w:tc>
        <w:tc>
          <w:tcPr>
            <w:tcW w:w="2100" w:type="dxa"/>
            <w:vAlign w:val="bottom"/>
          </w:tcPr>
          <w:p>
            <w:pPr>
              <w:rPr>
                <w:rFonts w:hint="default" w:ascii="Arial" w:hAnsi="Arial" w:cs="Arial"/>
                <w:i w:val="0"/>
                <w:color w:val="000000"/>
                <w:sz w:val="20"/>
                <w:szCs w:val="20"/>
                <w:u w:val="none"/>
              </w:rPr>
            </w:pPr>
          </w:p>
        </w:tc>
        <w:tc>
          <w:tcPr>
            <w:tcW w:w="1441" w:type="dxa"/>
            <w:vAlign w:val="bottom"/>
          </w:tcPr>
          <w:p>
            <w:pPr>
              <w:rPr>
                <w:rFonts w:hint="default" w:ascii="Arial" w:hAnsi="Arial" w:cs="Arial"/>
                <w:i w:val="0"/>
                <w:color w:val="000000"/>
                <w:sz w:val="20"/>
                <w:szCs w:val="20"/>
                <w:u w:val="none"/>
              </w:rPr>
            </w:pPr>
          </w:p>
        </w:tc>
        <w:tc>
          <w:tcPr>
            <w:tcW w:w="735" w:type="dxa"/>
            <w:vAlign w:val="bottom"/>
          </w:tcPr>
          <w:p>
            <w:pPr>
              <w:rPr>
                <w:rFonts w:hint="default" w:ascii="Arial" w:hAnsi="Arial" w:cs="Arial"/>
                <w:i w:val="0"/>
                <w:color w:val="000000"/>
                <w:sz w:val="20"/>
                <w:szCs w:val="20"/>
                <w:u w:val="none"/>
              </w:rPr>
            </w:pPr>
          </w:p>
        </w:tc>
        <w:tc>
          <w:tcPr>
            <w:tcW w:w="3614" w:type="dxa"/>
            <w:vAlign w:val="bottom"/>
          </w:tcPr>
          <w:p>
            <w:pPr>
              <w:rPr>
                <w:rFonts w:hint="default" w:ascii="Arial" w:hAnsi="Arial" w:cs="Arial"/>
                <w:i w:val="0"/>
                <w:color w:val="000000"/>
                <w:sz w:val="20"/>
                <w:szCs w:val="20"/>
                <w:u w:val="none"/>
              </w:rPr>
            </w:pPr>
          </w:p>
        </w:tc>
        <w:tc>
          <w:tcPr>
            <w:tcW w:w="1200" w:type="dxa"/>
            <w:vAlign w:val="bottom"/>
          </w:tcPr>
          <w:p>
            <w:pPr>
              <w:widowControl/>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公开06表</w:t>
            </w:r>
          </w:p>
        </w:tc>
      </w:tr>
      <w:tr>
        <w:trPr>
          <w:trHeight w:val="408" w:hRule="atLeast"/>
        </w:trPr>
        <w:tc>
          <w:tcPr>
            <w:tcW w:w="734" w:type="dxa"/>
            <w:vAlign w:val="bottom"/>
          </w:tcPr>
          <w:p>
            <w:pPr>
              <w:widowControl/>
              <w:jc w:val="left"/>
              <w:textAlignment w:val="bottom"/>
              <w:rPr>
                <w:rFonts w:hint="eastAsia" w:ascii="宋体" w:hAnsi="宋体" w:eastAsia="宋体" w:cs="宋体"/>
                <w:i w:val="0"/>
                <w:color w:val="000000"/>
                <w:sz w:val="20"/>
                <w:szCs w:val="20"/>
                <w:u w:val="none"/>
              </w:rPr>
            </w:pPr>
          </w:p>
        </w:tc>
        <w:tc>
          <w:tcPr>
            <w:tcW w:w="2625" w:type="dxa"/>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rPr>
              <w:t>部门：三门峡市湖滨区司法局</w:t>
            </w:r>
          </w:p>
        </w:tc>
        <w:tc>
          <w:tcPr>
            <w:tcW w:w="1591" w:type="dxa"/>
            <w:vAlign w:val="bottom"/>
          </w:tcPr>
          <w:p>
            <w:pPr>
              <w:rPr>
                <w:rFonts w:hint="default" w:ascii="Arial" w:hAnsi="Arial" w:cs="Arial"/>
                <w:i w:val="0"/>
                <w:color w:val="000000"/>
                <w:sz w:val="20"/>
                <w:szCs w:val="20"/>
                <w:u w:val="none"/>
              </w:rPr>
            </w:pPr>
          </w:p>
        </w:tc>
        <w:tc>
          <w:tcPr>
            <w:tcW w:w="735" w:type="dxa"/>
            <w:vAlign w:val="bottom"/>
          </w:tcPr>
          <w:p>
            <w:pPr>
              <w:rPr>
                <w:rFonts w:hint="default" w:ascii="Arial" w:hAnsi="Arial" w:cs="Arial"/>
                <w:i w:val="0"/>
                <w:color w:val="000000"/>
                <w:sz w:val="20"/>
                <w:szCs w:val="20"/>
                <w:u w:val="none"/>
              </w:rPr>
            </w:pPr>
          </w:p>
        </w:tc>
        <w:tc>
          <w:tcPr>
            <w:tcW w:w="2100" w:type="dxa"/>
            <w:vAlign w:val="bottom"/>
          </w:tcPr>
          <w:p>
            <w:pPr>
              <w:rPr>
                <w:rFonts w:hint="default" w:ascii="Arial" w:hAnsi="Arial" w:cs="Arial"/>
                <w:i w:val="0"/>
                <w:color w:val="000000"/>
                <w:sz w:val="20"/>
                <w:szCs w:val="20"/>
                <w:u w:val="none"/>
              </w:rPr>
            </w:pPr>
          </w:p>
        </w:tc>
        <w:tc>
          <w:tcPr>
            <w:tcW w:w="1441" w:type="dxa"/>
            <w:vAlign w:val="bottom"/>
          </w:tcPr>
          <w:p>
            <w:pPr>
              <w:rPr>
                <w:rFonts w:hint="default" w:ascii="Arial" w:hAnsi="Arial" w:cs="Arial"/>
                <w:i w:val="0"/>
                <w:color w:val="000000"/>
                <w:sz w:val="20"/>
                <w:szCs w:val="20"/>
                <w:u w:val="none"/>
              </w:rPr>
            </w:pPr>
          </w:p>
        </w:tc>
        <w:tc>
          <w:tcPr>
            <w:tcW w:w="735" w:type="dxa"/>
            <w:vAlign w:val="bottom"/>
          </w:tcPr>
          <w:p>
            <w:pPr>
              <w:rPr>
                <w:rFonts w:hint="default" w:ascii="Arial" w:hAnsi="Arial" w:cs="Arial"/>
                <w:i w:val="0"/>
                <w:color w:val="000000"/>
                <w:sz w:val="20"/>
                <w:szCs w:val="20"/>
                <w:u w:val="none"/>
              </w:rPr>
            </w:pPr>
          </w:p>
        </w:tc>
        <w:tc>
          <w:tcPr>
            <w:tcW w:w="3614" w:type="dxa"/>
            <w:vAlign w:val="bottom"/>
          </w:tcPr>
          <w:p>
            <w:pPr>
              <w:rPr>
                <w:rFonts w:hint="default" w:ascii="Arial" w:hAnsi="Arial" w:cs="Arial"/>
                <w:i w:val="0"/>
                <w:color w:val="000000"/>
                <w:sz w:val="20"/>
                <w:szCs w:val="20"/>
                <w:u w:val="none"/>
              </w:rPr>
            </w:pPr>
          </w:p>
        </w:tc>
        <w:tc>
          <w:tcPr>
            <w:tcW w:w="1200" w:type="dxa"/>
            <w:vAlign w:val="bottom"/>
          </w:tcPr>
          <w:p>
            <w:pPr>
              <w:widowControl/>
              <w:jc w:val="right"/>
              <w:textAlignment w:val="bottom"/>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rPr>
              <w:t>金额单位：元</w:t>
            </w:r>
          </w:p>
        </w:tc>
      </w:tr>
      <w:tr>
        <w:trPr>
          <w:trHeight w:val="301" w:hRule="atLeast"/>
        </w:trPr>
        <w:tc>
          <w:tcPr>
            <w:tcW w:w="4950" w:type="dxa"/>
            <w:gridSpan w:val="3"/>
            <w:tcBorders>
              <w:top w:val="single" w:color="000000" w:sz="4" w:space="0"/>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人员经费</w:t>
            </w:r>
          </w:p>
        </w:tc>
        <w:tc>
          <w:tcPr>
            <w:tcW w:w="9825" w:type="dxa"/>
            <w:gridSpan w:val="6"/>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公用经费</w:t>
            </w:r>
          </w:p>
        </w:tc>
      </w:tr>
      <w:tr>
        <w:trPr>
          <w:trHeight w:val="300" w:hRule="atLeast"/>
        </w:trPr>
        <w:tc>
          <w:tcPr>
            <w:tcW w:w="734" w:type="dxa"/>
            <w:vMerge w:val="restart"/>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科目编码</w:t>
            </w:r>
          </w:p>
        </w:tc>
        <w:tc>
          <w:tcPr>
            <w:tcW w:w="2625"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科目名称</w:t>
            </w:r>
          </w:p>
        </w:tc>
        <w:tc>
          <w:tcPr>
            <w:tcW w:w="1591"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决算数</w:t>
            </w:r>
          </w:p>
        </w:tc>
        <w:tc>
          <w:tcPr>
            <w:tcW w:w="735"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科目编码</w:t>
            </w:r>
          </w:p>
        </w:tc>
        <w:tc>
          <w:tcPr>
            <w:tcW w:w="2100"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科目名称</w:t>
            </w:r>
          </w:p>
        </w:tc>
        <w:tc>
          <w:tcPr>
            <w:tcW w:w="1441"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决算数</w:t>
            </w:r>
          </w:p>
        </w:tc>
        <w:tc>
          <w:tcPr>
            <w:tcW w:w="735"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科目编码</w:t>
            </w:r>
          </w:p>
        </w:tc>
        <w:tc>
          <w:tcPr>
            <w:tcW w:w="3614"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科目名称</w:t>
            </w:r>
          </w:p>
        </w:tc>
        <w:tc>
          <w:tcPr>
            <w:tcW w:w="1200"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决算数</w:t>
            </w:r>
          </w:p>
        </w:tc>
      </w:tr>
      <w:tr>
        <w:trPr>
          <w:trHeight w:val="300" w:hRule="atLeast"/>
        </w:trPr>
        <w:tc>
          <w:tcPr>
            <w:tcW w:w="734" w:type="dxa"/>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2625"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1591"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735"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2100"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1441"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735"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3614"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1200"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301</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工资福利支出</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4,197,039.10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商品和服务支出</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609,608.20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307</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债务利息及费用支出</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30101</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基本工资</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1,180,342.50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30201</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办公费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233,592.55</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30701</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国内债务付息</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30102</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津贴补贴</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905,303.00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30202</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印刷费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84,149.00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30702</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国外债务付息</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30103</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奖金</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783,452.00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30203</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咨询费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310</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资本性支出</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3,600.00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30106</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伙食补助费</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30204</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手续费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31001</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房屋建筑物购建</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30107</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绩效工资</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30205</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水费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13,178.24</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31002</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办公设备购置</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3,600.00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30108</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机关事业单位基本养老保险缴费</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335,350.68</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30206</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电费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13,006.94</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31003</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专用设备购置</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30109</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职业年金缴费</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30207</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邮电费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15,030.00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31005</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基础设施建设</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30110</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职工基本医疗保险缴费</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184,559.55</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30208</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取暖费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31006</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大型修缮</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30111</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公务员医疗补助缴费</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185,366.60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30209</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物业管理费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31007</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信息网络及软件购置更新</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30112</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其他社会保障缴费</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150,481.77</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30211</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差旅费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38,961.00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31008</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物资储备</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30113</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住房公积金</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348,633.00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30212</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因公出国（境）费用</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31009</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土地补偿</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30114</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医疗费</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30213</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维修（护）费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35,672.00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31010</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安置补助</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30199</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其他工资福利支出</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123,550.00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30214</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租赁费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31011</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地上附着物和青苗补偿</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303</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对个人和家庭的补助</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175,750.44</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30215</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会议费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31012</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拆迁补偿</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30301</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离休费</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30216</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培训费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7,000.00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31013</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公务用车购置</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30302</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退休费</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22,680.00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30217</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公务接待费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31019</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其他交通工具购置</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30303</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退职（役）费</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30218</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专用材料费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31021</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文物和陈列品购置</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30304</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抚恤金</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30224</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被装购置费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31022</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无形资产购置</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30305</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生活补助</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153,070.44</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30225</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专用燃料费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31099</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其他资本性支出</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30306</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救济费</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30226</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劳务费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22,500.00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399</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其他支出</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30307</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医疗费补助</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30227</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委托业务费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39906</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赠与</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30308</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助学金</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30228</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工会经费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5,000.00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39907</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国家赔偿费用支出</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30309</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奖励金</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30229</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福利费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6,974.60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39908</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对民间非营利组织和群众性自治组织补贴</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30310</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个人农业生产补贴</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30231</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公务用车运行维护费</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6,080.00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39999</w:t>
            </w:r>
          </w:p>
        </w:tc>
        <w:tc>
          <w:tcPr>
            <w:tcW w:w="3614"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其他支出</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30399</w:t>
            </w:r>
          </w:p>
        </w:tc>
        <w:tc>
          <w:tcPr>
            <w:tcW w:w="262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其他对个人和家庭的补助</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30239</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其他交通费用</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31,300.00</w:t>
            </w:r>
          </w:p>
        </w:tc>
        <w:tc>
          <w:tcPr>
            <w:tcW w:w="735"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3614"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1200"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0"/>
                <w:szCs w:val="20"/>
                <w:u w:val="none"/>
              </w:rPr>
            </w:pP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2625"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1591"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30240</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税金及附加费用</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5"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3614"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1200"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0"/>
                <w:szCs w:val="20"/>
                <w:u w:val="none"/>
              </w:rPr>
            </w:pPr>
          </w:p>
        </w:tc>
      </w:tr>
      <w:tr>
        <w:trPr>
          <w:trHeight w:val="301" w:hRule="atLeast"/>
        </w:trPr>
        <w:tc>
          <w:tcPr>
            <w:tcW w:w="734" w:type="dxa"/>
            <w:tcBorders>
              <w:left w:val="single" w:color="000000" w:sz="4" w:space="0"/>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2625"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1591" w:type="dxa"/>
            <w:tcBorders>
              <w:bottom w:val="single" w:color="000000" w:sz="4" w:space="0"/>
              <w:right w:val="single" w:color="000000" w:sz="4" w:space="0"/>
            </w:tcBorders>
            <w:shd w:val="clear" w:color="auto" w:fill="auto"/>
            <w:vAlign w:val="center"/>
          </w:tcPr>
          <w:p>
            <w:pPr>
              <w:jc w:val="right"/>
              <w:rPr>
                <w:rFonts w:hint="eastAsia" w:ascii="宋体" w:hAnsi="宋体" w:eastAsia="宋体" w:cs="宋体"/>
                <w:i w:val="0"/>
                <w:color w:val="000000"/>
                <w:sz w:val="20"/>
                <w:szCs w:val="20"/>
                <w:u w:val="none"/>
              </w:rPr>
            </w:pPr>
          </w:p>
        </w:tc>
        <w:tc>
          <w:tcPr>
            <w:tcW w:w="735"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30299</w:t>
            </w:r>
          </w:p>
        </w:tc>
        <w:tc>
          <w:tcPr>
            <w:tcW w:w="2100" w:type="dxa"/>
            <w:tcBorders>
              <w:bottom w:val="single" w:color="000000" w:sz="4" w:space="0"/>
              <w:right w:val="single" w:color="000000" w:sz="4" w:space="0"/>
            </w:tcBorders>
            <w:shd w:val="clear" w:color="FFFFFF" w:fill="C0C0C0"/>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 xml:space="preserve">  其他商品和服务支出</w:t>
            </w:r>
          </w:p>
        </w:tc>
        <w:tc>
          <w:tcPr>
            <w:tcW w:w="144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97,163.87</w:t>
            </w:r>
          </w:p>
        </w:tc>
        <w:tc>
          <w:tcPr>
            <w:tcW w:w="735"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3614" w:type="dxa"/>
            <w:tcBorders>
              <w:bottom w:val="single" w:color="000000" w:sz="4" w:space="0"/>
              <w:right w:val="single" w:color="000000" w:sz="4" w:space="0"/>
            </w:tcBorders>
            <w:shd w:val="clear" w:color="FFFFFF" w:fill="C0C0C0"/>
            <w:vAlign w:val="center"/>
          </w:tcPr>
          <w:p>
            <w:pPr>
              <w:jc w:val="left"/>
              <w:rPr>
                <w:rFonts w:hint="eastAsia" w:ascii="宋体" w:hAnsi="宋体" w:eastAsia="宋体" w:cs="宋体"/>
                <w:i w:val="0"/>
                <w:color w:val="000000"/>
                <w:sz w:val="20"/>
                <w:szCs w:val="20"/>
                <w:u w:val="none"/>
              </w:rPr>
            </w:pPr>
          </w:p>
        </w:tc>
        <w:tc>
          <w:tcPr>
            <w:tcW w:w="1200"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0"/>
                <w:szCs w:val="20"/>
                <w:u w:val="none"/>
              </w:rPr>
            </w:pPr>
          </w:p>
        </w:tc>
      </w:tr>
      <w:tr>
        <w:trPr>
          <w:trHeight w:val="301" w:hRule="atLeast"/>
        </w:trPr>
        <w:tc>
          <w:tcPr>
            <w:tcW w:w="3359" w:type="dxa"/>
            <w:gridSpan w:val="2"/>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人员经费合计</w:t>
            </w:r>
          </w:p>
        </w:tc>
        <w:tc>
          <w:tcPr>
            <w:tcW w:w="1591" w:type="dxa"/>
            <w:tcBorders>
              <w:bottom w:val="single" w:color="000000" w:sz="4" w:space="0"/>
              <w:right w:val="single" w:color="000000" w:sz="4" w:space="0"/>
            </w:tcBorders>
            <w:shd w:val="clear" w:color="auto" w:fill="auto"/>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4,372,789.54</w:t>
            </w:r>
          </w:p>
        </w:tc>
        <w:tc>
          <w:tcPr>
            <w:tcW w:w="8625" w:type="dxa"/>
            <w:gridSpan w:val="5"/>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公用经费合计</w:t>
            </w:r>
          </w:p>
        </w:tc>
        <w:tc>
          <w:tcPr>
            <w:tcW w:w="120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613,208.20</w:t>
            </w:r>
          </w:p>
        </w:tc>
      </w:tr>
      <w:tr>
        <w:trPr>
          <w:trHeight w:val="301" w:hRule="atLeast"/>
        </w:trPr>
        <w:tc>
          <w:tcPr>
            <w:tcW w:w="14775" w:type="dxa"/>
            <w:gridSpan w:val="9"/>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注：本表反映部门本年度一般公共预算财政拨款基本支出明细情况。本表金额转换为万元时，因四舍五入可能存在尾差。</w:t>
            </w:r>
          </w:p>
        </w:tc>
      </w:tr>
    </w:tbl>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tbl>
      <w:tblPr>
        <w:tblW w:w="1357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28"/>
        <w:gridCol w:w="932"/>
        <w:gridCol w:w="737"/>
        <w:gridCol w:w="300"/>
        <w:gridCol w:w="1205"/>
        <w:gridCol w:w="915"/>
        <w:gridCol w:w="915"/>
        <w:gridCol w:w="957"/>
        <w:gridCol w:w="932"/>
        <w:gridCol w:w="956"/>
        <w:gridCol w:w="1575"/>
        <w:gridCol w:w="1560"/>
        <w:gridCol w:w="1260"/>
      </w:tblGrid>
      <w:tr>
        <w:trPr>
          <w:trHeight w:val="540" w:hRule="atLeast"/>
        </w:trPr>
        <w:tc>
          <w:tcPr>
            <w:tcW w:w="13572" w:type="dxa"/>
            <w:gridSpan w:val="13"/>
            <w:vAlign w:val="bottom"/>
          </w:tcPr>
          <w:p>
            <w:pPr>
              <w:widowControl/>
              <w:jc w:val="center"/>
              <w:textAlignment w:val="bottom"/>
              <w:rPr>
                <w:rFonts w:hint="eastAsia" w:ascii="宋体" w:hAnsi="宋体" w:eastAsia="宋体" w:cs="宋体"/>
                <w:i w:val="0"/>
                <w:color w:val="000000"/>
                <w:sz w:val="44"/>
                <w:szCs w:val="44"/>
                <w:u w:val="none"/>
              </w:rPr>
            </w:pPr>
            <w:r>
              <w:rPr>
                <w:rFonts w:hint="eastAsia" w:ascii="宋体" w:hAnsi="宋体" w:eastAsia="宋体" w:cs="宋体"/>
                <w:i w:val="0"/>
                <w:color w:val="000000"/>
                <w:kern w:val="0"/>
                <w:sz w:val="44"/>
                <w:szCs w:val="44"/>
                <w:u w:val="none"/>
                <w:lang w:val="en-US" w:eastAsia="zh-CN"/>
              </w:rPr>
              <w:t>一般公共预算财政拨款“三公”经费支出决算表</w:t>
            </w:r>
          </w:p>
        </w:tc>
      </w:tr>
      <w:tr>
        <w:trPr>
          <w:trHeight w:val="286" w:hRule="atLeast"/>
        </w:trPr>
        <w:tc>
          <w:tcPr>
            <w:tcW w:w="1328" w:type="dxa"/>
            <w:vAlign w:val="bottom"/>
          </w:tcPr>
          <w:p>
            <w:pPr>
              <w:rPr>
                <w:rFonts w:hint="eastAsia" w:ascii="Arial" w:hAnsi="Arial" w:cs="Arial"/>
                <w:i w:val="0"/>
                <w:color w:val="000000"/>
                <w:sz w:val="20"/>
                <w:szCs w:val="20"/>
                <w:u w:val="none"/>
              </w:rPr>
            </w:pPr>
          </w:p>
        </w:tc>
        <w:tc>
          <w:tcPr>
            <w:tcW w:w="932" w:type="dxa"/>
            <w:vAlign w:val="bottom"/>
          </w:tcPr>
          <w:p>
            <w:pPr>
              <w:rPr>
                <w:rFonts w:hint="default" w:ascii="Arial" w:hAnsi="Arial" w:cs="Arial"/>
                <w:i w:val="0"/>
                <w:color w:val="000000"/>
                <w:sz w:val="20"/>
                <w:szCs w:val="20"/>
                <w:u w:val="none"/>
              </w:rPr>
            </w:pPr>
          </w:p>
        </w:tc>
        <w:tc>
          <w:tcPr>
            <w:tcW w:w="1037" w:type="dxa"/>
            <w:gridSpan w:val="2"/>
            <w:vAlign w:val="bottom"/>
          </w:tcPr>
          <w:p>
            <w:pPr>
              <w:rPr>
                <w:rFonts w:hint="default" w:ascii="Arial" w:hAnsi="Arial" w:cs="Arial"/>
                <w:i w:val="0"/>
                <w:color w:val="000000"/>
                <w:sz w:val="20"/>
                <w:szCs w:val="20"/>
                <w:u w:val="none"/>
              </w:rPr>
            </w:pPr>
          </w:p>
        </w:tc>
        <w:tc>
          <w:tcPr>
            <w:tcW w:w="1205" w:type="dxa"/>
            <w:vAlign w:val="bottom"/>
          </w:tcPr>
          <w:p>
            <w:pPr>
              <w:rPr>
                <w:rFonts w:hint="default" w:ascii="Arial" w:hAnsi="Arial" w:cs="Arial"/>
                <w:i w:val="0"/>
                <w:color w:val="000000"/>
                <w:sz w:val="20"/>
                <w:szCs w:val="20"/>
                <w:u w:val="none"/>
              </w:rPr>
            </w:pPr>
          </w:p>
        </w:tc>
        <w:tc>
          <w:tcPr>
            <w:tcW w:w="915" w:type="dxa"/>
            <w:vAlign w:val="bottom"/>
          </w:tcPr>
          <w:p>
            <w:pPr>
              <w:rPr>
                <w:rFonts w:hint="default" w:ascii="Arial" w:hAnsi="Arial" w:cs="Arial"/>
                <w:i w:val="0"/>
                <w:color w:val="000000"/>
                <w:sz w:val="20"/>
                <w:szCs w:val="20"/>
                <w:u w:val="none"/>
              </w:rPr>
            </w:pPr>
          </w:p>
        </w:tc>
        <w:tc>
          <w:tcPr>
            <w:tcW w:w="915" w:type="dxa"/>
            <w:vAlign w:val="bottom"/>
          </w:tcPr>
          <w:p>
            <w:pPr>
              <w:rPr>
                <w:rFonts w:hint="default" w:ascii="Arial" w:hAnsi="Arial" w:cs="Arial"/>
                <w:i w:val="0"/>
                <w:color w:val="000000"/>
                <w:sz w:val="20"/>
                <w:szCs w:val="20"/>
                <w:u w:val="none"/>
              </w:rPr>
            </w:pPr>
          </w:p>
        </w:tc>
        <w:tc>
          <w:tcPr>
            <w:tcW w:w="957" w:type="dxa"/>
            <w:vAlign w:val="bottom"/>
          </w:tcPr>
          <w:p>
            <w:pPr>
              <w:rPr>
                <w:rFonts w:hint="default" w:ascii="Arial" w:hAnsi="Arial" w:cs="Arial"/>
                <w:i w:val="0"/>
                <w:color w:val="000000"/>
                <w:sz w:val="20"/>
                <w:szCs w:val="20"/>
                <w:u w:val="none"/>
              </w:rPr>
            </w:pPr>
          </w:p>
        </w:tc>
        <w:tc>
          <w:tcPr>
            <w:tcW w:w="932" w:type="dxa"/>
            <w:vAlign w:val="bottom"/>
          </w:tcPr>
          <w:p>
            <w:pPr>
              <w:rPr>
                <w:rFonts w:hint="default" w:ascii="Arial" w:hAnsi="Arial" w:cs="Arial"/>
                <w:i w:val="0"/>
                <w:color w:val="000000"/>
                <w:sz w:val="20"/>
                <w:szCs w:val="20"/>
                <w:u w:val="none"/>
              </w:rPr>
            </w:pPr>
          </w:p>
        </w:tc>
        <w:tc>
          <w:tcPr>
            <w:tcW w:w="956" w:type="dxa"/>
            <w:vAlign w:val="bottom"/>
          </w:tcPr>
          <w:p>
            <w:pPr>
              <w:rPr>
                <w:rFonts w:hint="default" w:ascii="Arial" w:hAnsi="Arial" w:cs="Arial"/>
                <w:i w:val="0"/>
                <w:color w:val="000000"/>
                <w:sz w:val="20"/>
                <w:szCs w:val="20"/>
                <w:u w:val="none"/>
              </w:rPr>
            </w:pPr>
          </w:p>
        </w:tc>
        <w:tc>
          <w:tcPr>
            <w:tcW w:w="1575" w:type="dxa"/>
            <w:vAlign w:val="bottom"/>
          </w:tcPr>
          <w:p>
            <w:pPr>
              <w:rPr>
                <w:rFonts w:hint="default" w:ascii="Arial" w:hAnsi="Arial" w:cs="Arial"/>
                <w:i w:val="0"/>
                <w:color w:val="000000"/>
                <w:sz w:val="20"/>
                <w:szCs w:val="20"/>
                <w:u w:val="none"/>
              </w:rPr>
            </w:pPr>
          </w:p>
        </w:tc>
        <w:tc>
          <w:tcPr>
            <w:tcW w:w="1560" w:type="dxa"/>
            <w:vAlign w:val="bottom"/>
          </w:tcPr>
          <w:p>
            <w:pPr>
              <w:rPr>
                <w:rFonts w:hint="default" w:ascii="Arial" w:hAnsi="Arial" w:cs="Arial"/>
                <w:i w:val="0"/>
                <w:color w:val="000000"/>
                <w:sz w:val="20"/>
                <w:szCs w:val="20"/>
                <w:u w:val="none"/>
              </w:rPr>
            </w:pPr>
          </w:p>
        </w:tc>
        <w:tc>
          <w:tcPr>
            <w:tcW w:w="1260"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公开07表</w:t>
            </w:r>
          </w:p>
        </w:tc>
      </w:tr>
      <w:tr>
        <w:trPr>
          <w:trHeight w:val="286" w:hRule="atLeast"/>
        </w:trPr>
        <w:tc>
          <w:tcPr>
            <w:tcW w:w="4502" w:type="dxa"/>
            <w:gridSpan w:val="5"/>
            <w:vAlign w:val="bottom"/>
          </w:tcPr>
          <w:p>
            <w:pPr>
              <w:widowControl/>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部门：三门峡市湖滨区司法局</w:t>
            </w:r>
          </w:p>
        </w:tc>
        <w:tc>
          <w:tcPr>
            <w:tcW w:w="915" w:type="dxa"/>
            <w:vAlign w:val="bottom"/>
          </w:tcPr>
          <w:p>
            <w:pPr>
              <w:rPr>
                <w:rFonts w:hint="default" w:ascii="Arial" w:hAnsi="Arial" w:cs="Arial"/>
                <w:i w:val="0"/>
                <w:color w:val="000000"/>
                <w:sz w:val="20"/>
                <w:szCs w:val="20"/>
                <w:u w:val="none"/>
              </w:rPr>
            </w:pPr>
          </w:p>
        </w:tc>
        <w:tc>
          <w:tcPr>
            <w:tcW w:w="915" w:type="dxa"/>
            <w:vAlign w:val="bottom"/>
          </w:tcPr>
          <w:p>
            <w:pPr>
              <w:rPr>
                <w:rFonts w:hint="default" w:ascii="Arial" w:hAnsi="Arial" w:cs="Arial"/>
                <w:i w:val="0"/>
                <w:color w:val="000000"/>
                <w:sz w:val="20"/>
                <w:szCs w:val="20"/>
                <w:u w:val="none"/>
              </w:rPr>
            </w:pPr>
          </w:p>
        </w:tc>
        <w:tc>
          <w:tcPr>
            <w:tcW w:w="957" w:type="dxa"/>
            <w:vAlign w:val="bottom"/>
          </w:tcPr>
          <w:p>
            <w:pPr>
              <w:rPr>
                <w:rFonts w:hint="default" w:ascii="Arial" w:hAnsi="Arial" w:cs="Arial"/>
                <w:i w:val="0"/>
                <w:color w:val="000000"/>
                <w:sz w:val="20"/>
                <w:szCs w:val="20"/>
                <w:u w:val="none"/>
              </w:rPr>
            </w:pPr>
          </w:p>
        </w:tc>
        <w:tc>
          <w:tcPr>
            <w:tcW w:w="932" w:type="dxa"/>
            <w:vAlign w:val="bottom"/>
          </w:tcPr>
          <w:p>
            <w:pPr>
              <w:rPr>
                <w:rFonts w:hint="default" w:ascii="Arial" w:hAnsi="Arial" w:cs="Arial"/>
                <w:i w:val="0"/>
                <w:color w:val="000000"/>
                <w:sz w:val="20"/>
                <w:szCs w:val="20"/>
                <w:u w:val="none"/>
              </w:rPr>
            </w:pPr>
          </w:p>
        </w:tc>
        <w:tc>
          <w:tcPr>
            <w:tcW w:w="956" w:type="dxa"/>
            <w:vAlign w:val="bottom"/>
          </w:tcPr>
          <w:p>
            <w:pPr>
              <w:rPr>
                <w:rFonts w:hint="default" w:ascii="Arial" w:hAnsi="Arial" w:cs="Arial"/>
                <w:i w:val="0"/>
                <w:color w:val="000000"/>
                <w:sz w:val="20"/>
                <w:szCs w:val="20"/>
                <w:u w:val="none"/>
              </w:rPr>
            </w:pPr>
          </w:p>
        </w:tc>
        <w:tc>
          <w:tcPr>
            <w:tcW w:w="1575" w:type="dxa"/>
            <w:vAlign w:val="bottom"/>
          </w:tcPr>
          <w:p>
            <w:pPr>
              <w:rPr>
                <w:rFonts w:hint="default" w:ascii="Arial" w:hAnsi="Arial" w:cs="Arial"/>
                <w:i w:val="0"/>
                <w:color w:val="000000"/>
                <w:sz w:val="20"/>
                <w:szCs w:val="20"/>
                <w:u w:val="none"/>
              </w:rPr>
            </w:pPr>
          </w:p>
        </w:tc>
        <w:tc>
          <w:tcPr>
            <w:tcW w:w="1560" w:type="dxa"/>
            <w:vAlign w:val="bottom"/>
          </w:tcPr>
          <w:p>
            <w:pPr>
              <w:rPr>
                <w:rFonts w:hint="default" w:ascii="Arial" w:hAnsi="Arial" w:cs="Arial"/>
                <w:i w:val="0"/>
                <w:color w:val="000000"/>
                <w:sz w:val="20"/>
                <w:szCs w:val="20"/>
                <w:u w:val="none"/>
              </w:rPr>
            </w:pPr>
          </w:p>
        </w:tc>
        <w:tc>
          <w:tcPr>
            <w:tcW w:w="1260"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金额单位：元</w:t>
            </w:r>
          </w:p>
        </w:tc>
      </w:tr>
      <w:tr>
        <w:trPr>
          <w:trHeight w:val="301" w:hRule="atLeast"/>
        </w:trPr>
        <w:tc>
          <w:tcPr>
            <w:tcW w:w="6332" w:type="dxa"/>
            <w:gridSpan w:val="7"/>
            <w:tcBorders>
              <w:top w:val="single" w:color="000000" w:sz="4" w:space="0"/>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预算数</w:t>
            </w:r>
          </w:p>
        </w:tc>
        <w:tc>
          <w:tcPr>
            <w:tcW w:w="7240" w:type="dxa"/>
            <w:gridSpan w:val="6"/>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决算数</w:t>
            </w:r>
          </w:p>
        </w:tc>
      </w:tr>
      <w:tr>
        <w:trPr>
          <w:trHeight w:val="357" w:hRule="atLeast"/>
        </w:trPr>
        <w:tc>
          <w:tcPr>
            <w:tcW w:w="1328" w:type="dxa"/>
            <w:vMerge w:val="restart"/>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合计</w:t>
            </w:r>
          </w:p>
        </w:tc>
        <w:tc>
          <w:tcPr>
            <w:tcW w:w="932"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因公出国（境）费</w:t>
            </w:r>
          </w:p>
        </w:tc>
        <w:tc>
          <w:tcPr>
            <w:tcW w:w="3157" w:type="dxa"/>
            <w:gridSpan w:val="4"/>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公务用车购置及运行费</w:t>
            </w:r>
          </w:p>
        </w:tc>
        <w:tc>
          <w:tcPr>
            <w:tcW w:w="915"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公务接待费</w:t>
            </w:r>
          </w:p>
        </w:tc>
        <w:tc>
          <w:tcPr>
            <w:tcW w:w="957"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合计</w:t>
            </w:r>
          </w:p>
        </w:tc>
        <w:tc>
          <w:tcPr>
            <w:tcW w:w="932"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因公出国（境）费</w:t>
            </w:r>
          </w:p>
        </w:tc>
        <w:tc>
          <w:tcPr>
            <w:tcW w:w="4091" w:type="dxa"/>
            <w:gridSpan w:val="3"/>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公务用车购置及运行费</w:t>
            </w:r>
          </w:p>
        </w:tc>
        <w:tc>
          <w:tcPr>
            <w:tcW w:w="1260"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公务接待费</w:t>
            </w:r>
          </w:p>
        </w:tc>
      </w:tr>
      <w:tr>
        <w:trPr>
          <w:trHeight w:val="615" w:hRule="atLeast"/>
        </w:trPr>
        <w:tc>
          <w:tcPr>
            <w:tcW w:w="1328" w:type="dxa"/>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932"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737"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小计</w:t>
            </w:r>
          </w:p>
        </w:tc>
        <w:tc>
          <w:tcPr>
            <w:tcW w:w="1505" w:type="dxa"/>
            <w:gridSpan w:val="2"/>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公务用车购置费</w:t>
            </w:r>
          </w:p>
        </w:tc>
        <w:tc>
          <w:tcPr>
            <w:tcW w:w="91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公务用车运行费</w:t>
            </w:r>
          </w:p>
        </w:tc>
        <w:tc>
          <w:tcPr>
            <w:tcW w:w="915" w:type="dxa"/>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957" w:type="dxa"/>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932" w:type="dxa"/>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c>
          <w:tcPr>
            <w:tcW w:w="956"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小计</w:t>
            </w:r>
          </w:p>
        </w:tc>
        <w:tc>
          <w:tcPr>
            <w:tcW w:w="157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公务用车购置费</w:t>
            </w:r>
          </w:p>
        </w:tc>
        <w:tc>
          <w:tcPr>
            <w:tcW w:w="156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公务用车运行费</w:t>
            </w:r>
          </w:p>
        </w:tc>
        <w:tc>
          <w:tcPr>
            <w:tcW w:w="1260" w:type="dxa"/>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0"/>
                <w:szCs w:val="20"/>
                <w:u w:val="none"/>
              </w:rPr>
            </w:pPr>
          </w:p>
        </w:tc>
      </w:tr>
      <w:tr>
        <w:trPr>
          <w:trHeight w:val="301" w:hRule="atLeast"/>
        </w:trPr>
        <w:tc>
          <w:tcPr>
            <w:tcW w:w="1328" w:type="dxa"/>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w:t>
            </w:r>
          </w:p>
        </w:tc>
        <w:tc>
          <w:tcPr>
            <w:tcW w:w="932"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2</w:t>
            </w:r>
          </w:p>
        </w:tc>
        <w:tc>
          <w:tcPr>
            <w:tcW w:w="737"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3</w:t>
            </w:r>
          </w:p>
        </w:tc>
        <w:tc>
          <w:tcPr>
            <w:tcW w:w="1505" w:type="dxa"/>
            <w:gridSpan w:val="2"/>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4</w:t>
            </w:r>
          </w:p>
        </w:tc>
        <w:tc>
          <w:tcPr>
            <w:tcW w:w="91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5</w:t>
            </w:r>
          </w:p>
        </w:tc>
        <w:tc>
          <w:tcPr>
            <w:tcW w:w="91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6</w:t>
            </w:r>
          </w:p>
        </w:tc>
        <w:tc>
          <w:tcPr>
            <w:tcW w:w="957"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7</w:t>
            </w:r>
          </w:p>
        </w:tc>
        <w:tc>
          <w:tcPr>
            <w:tcW w:w="932"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8</w:t>
            </w:r>
          </w:p>
        </w:tc>
        <w:tc>
          <w:tcPr>
            <w:tcW w:w="956"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9</w:t>
            </w:r>
          </w:p>
        </w:tc>
        <w:tc>
          <w:tcPr>
            <w:tcW w:w="1575"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10</w:t>
            </w:r>
          </w:p>
        </w:tc>
        <w:tc>
          <w:tcPr>
            <w:tcW w:w="156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11</w:t>
            </w:r>
          </w:p>
        </w:tc>
        <w:tc>
          <w:tcPr>
            <w:tcW w:w="1260"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12</w:t>
            </w:r>
          </w:p>
        </w:tc>
      </w:tr>
      <w:tr>
        <w:trPr>
          <w:trHeight w:val="301" w:hRule="atLeast"/>
        </w:trPr>
        <w:tc>
          <w:tcPr>
            <w:tcW w:w="1328" w:type="dxa"/>
            <w:tcBorders>
              <w:left w:val="single" w:color="000000" w:sz="4" w:space="0"/>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rPr>
              <w:t>76000</w:t>
            </w:r>
            <w:r>
              <w:rPr>
                <w:rFonts w:hint="eastAsia" w:ascii="宋体" w:hAnsi="宋体" w:eastAsia="宋体" w:cs="宋体"/>
                <w:i w:val="0"/>
                <w:color w:val="000000"/>
                <w:kern w:val="0"/>
                <w:sz w:val="20"/>
                <w:szCs w:val="20"/>
                <w:u w:val="none"/>
                <w:lang w:val="en-US" w:eastAsia="zh-CN"/>
              </w:rPr>
              <w:t>.00</w:t>
            </w:r>
          </w:p>
        </w:tc>
        <w:tc>
          <w:tcPr>
            <w:tcW w:w="9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73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rPr>
              <w:t>74000</w:t>
            </w:r>
            <w:r>
              <w:rPr>
                <w:rFonts w:hint="eastAsia" w:ascii="宋体" w:hAnsi="宋体" w:eastAsia="宋体" w:cs="宋体"/>
                <w:i w:val="0"/>
                <w:color w:val="000000"/>
                <w:kern w:val="0"/>
                <w:sz w:val="20"/>
                <w:szCs w:val="20"/>
                <w:u w:val="none"/>
                <w:lang w:val="en-US" w:eastAsia="zh-CN"/>
              </w:rPr>
              <w:t>.0</w:t>
            </w:r>
            <w:r>
              <w:rPr>
                <w:rFonts w:hint="eastAsia" w:ascii="宋体" w:hAnsi="宋体" w:cs="宋体"/>
                <w:i w:val="0"/>
                <w:color w:val="000000"/>
                <w:kern w:val="0"/>
                <w:sz w:val="20"/>
                <w:szCs w:val="20"/>
                <w:u w:val="none"/>
                <w:lang w:val="en-US" w:eastAsia="zh-CN"/>
              </w:rPr>
              <w:t>0</w:t>
            </w:r>
          </w:p>
        </w:tc>
        <w:tc>
          <w:tcPr>
            <w:tcW w:w="1505" w:type="dxa"/>
            <w:gridSpan w:val="2"/>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rPr>
              <w:t>74000</w:t>
            </w:r>
            <w:r>
              <w:rPr>
                <w:rFonts w:hint="eastAsia" w:ascii="宋体" w:hAnsi="宋体" w:eastAsia="宋体" w:cs="宋体"/>
                <w:i w:val="0"/>
                <w:color w:val="000000"/>
                <w:kern w:val="0"/>
                <w:sz w:val="20"/>
                <w:szCs w:val="20"/>
                <w:u w:val="none"/>
                <w:lang w:val="en-US" w:eastAsia="zh-CN"/>
              </w:rPr>
              <w:t>.00</w:t>
            </w:r>
          </w:p>
        </w:tc>
        <w:tc>
          <w:tcPr>
            <w:tcW w:w="91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rPr>
              <w:t>2000</w:t>
            </w:r>
            <w:r>
              <w:rPr>
                <w:rFonts w:hint="eastAsia" w:ascii="宋体" w:hAnsi="宋体" w:eastAsia="宋体" w:cs="宋体"/>
                <w:i w:val="0"/>
                <w:color w:val="000000"/>
                <w:kern w:val="0"/>
                <w:sz w:val="20"/>
                <w:szCs w:val="20"/>
                <w:u w:val="none"/>
                <w:lang w:val="en-US" w:eastAsia="zh-CN"/>
              </w:rPr>
              <w:t>.00</w:t>
            </w:r>
          </w:p>
        </w:tc>
        <w:tc>
          <w:tcPr>
            <w:tcW w:w="957"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12,705.00</w:t>
            </w:r>
          </w:p>
        </w:tc>
        <w:tc>
          <w:tcPr>
            <w:tcW w:w="932"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956"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12,705.00</w:t>
            </w:r>
          </w:p>
        </w:tc>
        <w:tc>
          <w:tcPr>
            <w:tcW w:w="1575"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c>
          <w:tcPr>
            <w:tcW w:w="15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12,705.00</w:t>
            </w:r>
          </w:p>
        </w:tc>
        <w:tc>
          <w:tcPr>
            <w:tcW w:w="1260" w:type="dxa"/>
            <w:tcBorders>
              <w:bottom w:val="single" w:color="000000" w:sz="4" w:space="0"/>
              <w:right w:val="single" w:color="000000" w:sz="4" w:space="0"/>
            </w:tcBorders>
            <w:vAlign w:val="center"/>
          </w:tcPr>
          <w:p>
            <w:pPr>
              <w:widowControl/>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0.00</w:t>
            </w:r>
          </w:p>
        </w:tc>
      </w:tr>
      <w:tr>
        <w:trPr>
          <w:trHeight w:val="615" w:hRule="atLeast"/>
        </w:trPr>
        <w:tc>
          <w:tcPr>
            <w:tcW w:w="13572" w:type="dxa"/>
            <w:gridSpan w:val="13"/>
            <w:vAlign w:val="center"/>
          </w:tcPr>
          <w:p>
            <w:pPr>
              <w:widowControl/>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注：本表反映部门本年度“三公”经费支出预决算情况。其中：预算数为“三公”经费全年预算数，反映按规定程序调整后的预算数；决算数是包括当年一般公共预算财政拨款和以前年度结转资金安排的实际支出。本表金额转换为万元时，因四舍五入可能存在尾差。</w:t>
            </w:r>
          </w:p>
        </w:tc>
      </w:tr>
    </w:tbl>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both"/>
      </w:pPr>
    </w:p>
    <w:p>
      <w:pPr>
        <w:jc w:val="center"/>
      </w:pPr>
    </w:p>
    <w:p>
      <w:pPr>
        <w:jc w:val="center"/>
      </w:pPr>
    </w:p>
    <w:tbl>
      <w:tblPr>
        <w:tblW w:w="12585" w:type="dxa"/>
        <w:jc w:val="center"/>
        <w:tblInd w:w="70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3"/>
        <w:gridCol w:w="83"/>
        <w:gridCol w:w="1222"/>
        <w:gridCol w:w="2264"/>
        <w:gridCol w:w="1946"/>
        <w:gridCol w:w="1112"/>
        <w:gridCol w:w="1338"/>
        <w:gridCol w:w="1946"/>
        <w:gridCol w:w="1338"/>
        <w:gridCol w:w="1253"/>
      </w:tblGrid>
      <w:tr>
        <w:trPr>
          <w:trHeight w:val="390" w:hRule="atLeast"/>
          <w:jc w:val="center"/>
        </w:trPr>
        <w:tc>
          <w:tcPr>
            <w:tcW w:w="12585" w:type="dxa"/>
            <w:gridSpan w:val="10"/>
            <w:vAlign w:val="bottom"/>
          </w:tcPr>
          <w:p>
            <w:pPr>
              <w:widowControl/>
              <w:jc w:val="center"/>
              <w:textAlignment w:val="bottom"/>
              <w:rPr>
                <w:rFonts w:hint="eastAsia" w:ascii="宋体" w:hAnsi="宋体" w:eastAsia="宋体" w:cs="宋体"/>
                <w:i w:val="0"/>
                <w:color w:val="000000"/>
                <w:sz w:val="30"/>
                <w:szCs w:val="30"/>
                <w:u w:val="none"/>
              </w:rPr>
            </w:pPr>
            <w:r>
              <w:rPr>
                <w:rFonts w:hint="eastAsia" w:ascii="宋体" w:hAnsi="宋体" w:eastAsia="宋体" w:cs="宋体"/>
                <w:i w:val="0"/>
                <w:color w:val="000000"/>
                <w:kern w:val="0"/>
                <w:sz w:val="30"/>
                <w:szCs w:val="30"/>
                <w:u w:val="none"/>
                <w:lang w:val="en-US" w:eastAsia="zh-CN"/>
              </w:rPr>
              <w:t>政府性基金预算财政拨款收入支出决算表</w:t>
            </w:r>
          </w:p>
        </w:tc>
      </w:tr>
      <w:tr>
        <w:trPr>
          <w:trHeight w:val="286" w:hRule="atLeast"/>
          <w:jc w:val="center"/>
        </w:trPr>
        <w:tc>
          <w:tcPr>
            <w:tcW w:w="83" w:type="dxa"/>
            <w:vAlign w:val="bottom"/>
          </w:tcPr>
          <w:p>
            <w:pPr>
              <w:rPr>
                <w:rFonts w:hint="eastAsia" w:ascii="Arial" w:hAnsi="Arial" w:cs="Arial"/>
                <w:i w:val="0"/>
                <w:color w:val="000000"/>
                <w:sz w:val="20"/>
                <w:szCs w:val="20"/>
                <w:u w:val="none"/>
              </w:rPr>
            </w:pPr>
          </w:p>
        </w:tc>
        <w:tc>
          <w:tcPr>
            <w:tcW w:w="83" w:type="dxa"/>
            <w:vAlign w:val="bottom"/>
          </w:tcPr>
          <w:p>
            <w:pPr>
              <w:rPr>
                <w:rFonts w:hint="default" w:ascii="Arial" w:hAnsi="Arial" w:cs="Arial"/>
                <w:i w:val="0"/>
                <w:color w:val="000000"/>
                <w:sz w:val="20"/>
                <w:szCs w:val="20"/>
                <w:u w:val="none"/>
              </w:rPr>
            </w:pPr>
          </w:p>
        </w:tc>
        <w:tc>
          <w:tcPr>
            <w:tcW w:w="1222" w:type="dxa"/>
            <w:vAlign w:val="bottom"/>
          </w:tcPr>
          <w:p>
            <w:pPr>
              <w:rPr>
                <w:rFonts w:hint="default" w:ascii="Arial" w:hAnsi="Arial" w:cs="Arial"/>
                <w:i w:val="0"/>
                <w:color w:val="000000"/>
                <w:sz w:val="20"/>
                <w:szCs w:val="20"/>
                <w:u w:val="none"/>
              </w:rPr>
            </w:pPr>
          </w:p>
        </w:tc>
        <w:tc>
          <w:tcPr>
            <w:tcW w:w="2264" w:type="dxa"/>
            <w:vAlign w:val="bottom"/>
          </w:tcPr>
          <w:p>
            <w:pPr>
              <w:rPr>
                <w:rFonts w:hint="default" w:ascii="Arial" w:hAnsi="Arial" w:cs="Arial"/>
                <w:i w:val="0"/>
                <w:color w:val="000000"/>
                <w:sz w:val="20"/>
                <w:szCs w:val="20"/>
                <w:u w:val="none"/>
              </w:rPr>
            </w:pPr>
          </w:p>
        </w:tc>
        <w:tc>
          <w:tcPr>
            <w:tcW w:w="1946" w:type="dxa"/>
            <w:vAlign w:val="bottom"/>
          </w:tcPr>
          <w:p>
            <w:pPr>
              <w:rPr>
                <w:rFonts w:hint="default" w:ascii="Arial" w:hAnsi="Arial" w:cs="Arial"/>
                <w:i w:val="0"/>
                <w:color w:val="000000"/>
                <w:sz w:val="20"/>
                <w:szCs w:val="20"/>
                <w:u w:val="none"/>
              </w:rPr>
            </w:pPr>
          </w:p>
        </w:tc>
        <w:tc>
          <w:tcPr>
            <w:tcW w:w="1112" w:type="dxa"/>
            <w:vAlign w:val="bottom"/>
          </w:tcPr>
          <w:p>
            <w:pPr>
              <w:rPr>
                <w:rFonts w:hint="default" w:ascii="Arial" w:hAnsi="Arial" w:cs="Arial"/>
                <w:i w:val="0"/>
                <w:color w:val="000000"/>
                <w:sz w:val="20"/>
                <w:szCs w:val="20"/>
                <w:u w:val="none"/>
              </w:rPr>
            </w:pPr>
          </w:p>
        </w:tc>
        <w:tc>
          <w:tcPr>
            <w:tcW w:w="1338" w:type="dxa"/>
            <w:vAlign w:val="bottom"/>
          </w:tcPr>
          <w:p>
            <w:pPr>
              <w:rPr>
                <w:rFonts w:hint="default" w:ascii="Arial" w:hAnsi="Arial" w:cs="Arial"/>
                <w:i w:val="0"/>
                <w:color w:val="000000"/>
                <w:sz w:val="20"/>
                <w:szCs w:val="20"/>
                <w:u w:val="none"/>
              </w:rPr>
            </w:pPr>
          </w:p>
        </w:tc>
        <w:tc>
          <w:tcPr>
            <w:tcW w:w="1946" w:type="dxa"/>
            <w:vAlign w:val="bottom"/>
          </w:tcPr>
          <w:p>
            <w:pPr>
              <w:rPr>
                <w:rFonts w:hint="default" w:ascii="Arial" w:hAnsi="Arial" w:cs="Arial"/>
                <w:i w:val="0"/>
                <w:color w:val="000000"/>
                <w:sz w:val="20"/>
                <w:szCs w:val="20"/>
                <w:u w:val="none"/>
              </w:rPr>
            </w:pPr>
          </w:p>
        </w:tc>
        <w:tc>
          <w:tcPr>
            <w:tcW w:w="1338" w:type="dxa"/>
            <w:vAlign w:val="bottom"/>
          </w:tcPr>
          <w:p>
            <w:pPr>
              <w:rPr>
                <w:rFonts w:hint="default" w:ascii="Arial" w:hAnsi="Arial" w:cs="Arial"/>
                <w:i w:val="0"/>
                <w:color w:val="000000"/>
                <w:sz w:val="20"/>
                <w:szCs w:val="20"/>
                <w:u w:val="none"/>
              </w:rPr>
            </w:pPr>
          </w:p>
        </w:tc>
        <w:tc>
          <w:tcPr>
            <w:tcW w:w="1253"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公开08表</w:t>
            </w:r>
          </w:p>
        </w:tc>
      </w:tr>
      <w:tr>
        <w:trPr>
          <w:trHeight w:val="286" w:hRule="atLeast"/>
          <w:jc w:val="center"/>
        </w:trPr>
        <w:tc>
          <w:tcPr>
            <w:tcW w:w="3652" w:type="dxa"/>
            <w:gridSpan w:val="4"/>
            <w:vAlign w:val="bottom"/>
          </w:tcPr>
          <w:p>
            <w:pPr>
              <w:widowControl/>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部门：三门峡市湖滨区司法局</w:t>
            </w:r>
          </w:p>
        </w:tc>
        <w:tc>
          <w:tcPr>
            <w:tcW w:w="1946" w:type="dxa"/>
            <w:vAlign w:val="bottom"/>
          </w:tcPr>
          <w:p>
            <w:pPr>
              <w:rPr>
                <w:rFonts w:hint="default" w:ascii="Arial" w:hAnsi="Arial" w:cs="Arial"/>
                <w:i w:val="0"/>
                <w:color w:val="000000"/>
                <w:sz w:val="20"/>
                <w:szCs w:val="20"/>
                <w:u w:val="none"/>
              </w:rPr>
            </w:pPr>
          </w:p>
        </w:tc>
        <w:tc>
          <w:tcPr>
            <w:tcW w:w="1112" w:type="dxa"/>
            <w:vAlign w:val="bottom"/>
          </w:tcPr>
          <w:p>
            <w:pPr>
              <w:rPr>
                <w:rFonts w:hint="default" w:ascii="Arial" w:hAnsi="Arial" w:cs="Arial"/>
                <w:i w:val="0"/>
                <w:color w:val="000000"/>
                <w:sz w:val="20"/>
                <w:szCs w:val="20"/>
                <w:u w:val="none"/>
              </w:rPr>
            </w:pPr>
          </w:p>
        </w:tc>
        <w:tc>
          <w:tcPr>
            <w:tcW w:w="1338" w:type="dxa"/>
            <w:vAlign w:val="bottom"/>
          </w:tcPr>
          <w:p>
            <w:pPr>
              <w:rPr>
                <w:rFonts w:hint="default" w:ascii="Arial" w:hAnsi="Arial" w:cs="Arial"/>
                <w:i w:val="0"/>
                <w:color w:val="000000"/>
                <w:sz w:val="20"/>
                <w:szCs w:val="20"/>
                <w:u w:val="none"/>
              </w:rPr>
            </w:pPr>
          </w:p>
        </w:tc>
        <w:tc>
          <w:tcPr>
            <w:tcW w:w="1946" w:type="dxa"/>
            <w:vAlign w:val="bottom"/>
          </w:tcPr>
          <w:p>
            <w:pPr>
              <w:rPr>
                <w:rFonts w:hint="default" w:ascii="Arial" w:hAnsi="Arial" w:cs="Arial"/>
                <w:i w:val="0"/>
                <w:color w:val="000000"/>
                <w:sz w:val="20"/>
                <w:szCs w:val="20"/>
                <w:u w:val="none"/>
              </w:rPr>
            </w:pPr>
          </w:p>
        </w:tc>
        <w:tc>
          <w:tcPr>
            <w:tcW w:w="1338" w:type="dxa"/>
            <w:vAlign w:val="bottom"/>
          </w:tcPr>
          <w:p>
            <w:pPr>
              <w:rPr>
                <w:rFonts w:hint="default" w:ascii="Arial" w:hAnsi="Arial" w:cs="Arial"/>
                <w:i w:val="0"/>
                <w:color w:val="000000"/>
                <w:sz w:val="20"/>
                <w:szCs w:val="20"/>
                <w:u w:val="none"/>
              </w:rPr>
            </w:pPr>
          </w:p>
        </w:tc>
        <w:tc>
          <w:tcPr>
            <w:tcW w:w="1253" w:type="dxa"/>
            <w:vAlign w:val="bottom"/>
          </w:tcPr>
          <w:p>
            <w:pPr>
              <w:widowControl/>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rPr>
              <w:t>金额单位：万元</w:t>
            </w:r>
          </w:p>
        </w:tc>
      </w:tr>
      <w:tr>
        <w:trPr>
          <w:trHeight w:val="301" w:hRule="atLeast"/>
          <w:jc w:val="center"/>
        </w:trPr>
        <w:tc>
          <w:tcPr>
            <w:tcW w:w="3652" w:type="dxa"/>
            <w:gridSpan w:val="4"/>
            <w:tcBorders>
              <w:top w:val="single" w:color="000000" w:sz="4" w:space="0"/>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项目</w:t>
            </w:r>
          </w:p>
        </w:tc>
        <w:tc>
          <w:tcPr>
            <w:tcW w:w="1946"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年初结转和结余</w:t>
            </w:r>
          </w:p>
        </w:tc>
        <w:tc>
          <w:tcPr>
            <w:tcW w:w="1112"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本年收入</w:t>
            </w:r>
          </w:p>
        </w:tc>
        <w:tc>
          <w:tcPr>
            <w:tcW w:w="4622" w:type="dxa"/>
            <w:gridSpan w:val="3"/>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本年支出</w:t>
            </w:r>
          </w:p>
        </w:tc>
        <w:tc>
          <w:tcPr>
            <w:tcW w:w="1253" w:type="dxa"/>
            <w:vMerge w:val="restart"/>
            <w:tcBorders>
              <w:top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年末结转和结余</w:t>
            </w:r>
          </w:p>
        </w:tc>
      </w:tr>
      <w:tr>
        <w:trPr>
          <w:trHeight w:val="300" w:hRule="atLeast"/>
          <w:jc w:val="center"/>
        </w:trPr>
        <w:tc>
          <w:tcPr>
            <w:tcW w:w="1388" w:type="dxa"/>
            <w:gridSpan w:val="3"/>
            <w:vMerge w:val="restart"/>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功能分类科目编码</w:t>
            </w:r>
          </w:p>
        </w:tc>
        <w:tc>
          <w:tcPr>
            <w:tcW w:w="2264"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科目名称</w:t>
            </w:r>
          </w:p>
        </w:tc>
        <w:tc>
          <w:tcPr>
            <w:tcW w:w="1946"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112"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38"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小计</w:t>
            </w:r>
          </w:p>
        </w:tc>
        <w:tc>
          <w:tcPr>
            <w:tcW w:w="1946"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基本支出</w:t>
            </w:r>
          </w:p>
        </w:tc>
        <w:tc>
          <w:tcPr>
            <w:tcW w:w="1338" w:type="dxa"/>
            <w:vMerge w:val="restart"/>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项目支出</w:t>
            </w:r>
          </w:p>
        </w:tc>
        <w:tc>
          <w:tcPr>
            <w:tcW w:w="1253"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r>
      <w:tr>
        <w:trPr>
          <w:trHeight w:val="300" w:hRule="atLeast"/>
          <w:jc w:val="center"/>
        </w:trPr>
        <w:tc>
          <w:tcPr>
            <w:tcW w:w="1388" w:type="dxa"/>
            <w:gridSpan w:val="3"/>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2264"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946"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112"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38"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946"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38"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253"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r>
      <w:tr>
        <w:trPr>
          <w:trHeight w:val="300" w:hRule="atLeast"/>
          <w:jc w:val="center"/>
        </w:trPr>
        <w:tc>
          <w:tcPr>
            <w:tcW w:w="1388" w:type="dxa"/>
            <w:gridSpan w:val="3"/>
            <w:vMerge w:val="continue"/>
            <w:tcBorders>
              <w:left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2264"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946"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112"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38"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946"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338" w:type="dxa"/>
            <w:vMerge w:val="continue"/>
            <w:tcBorders>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c>
          <w:tcPr>
            <w:tcW w:w="1253" w:type="dxa"/>
            <w:tcBorders>
              <w:top w:val="single" w:color="000000" w:sz="4" w:space="0"/>
              <w:bottom w:val="single" w:color="000000" w:sz="4" w:space="0"/>
              <w:right w:val="single" w:color="000000" w:sz="4" w:space="0"/>
            </w:tcBorders>
            <w:shd w:val="clear" w:color="FFFFFF" w:fill="C0C0C0"/>
            <w:vAlign w:val="center"/>
          </w:tcPr>
          <w:p>
            <w:pPr>
              <w:jc w:val="center"/>
              <w:rPr>
                <w:rFonts w:hint="eastAsia" w:ascii="宋体" w:hAnsi="宋体" w:eastAsia="宋体" w:cs="宋体"/>
                <w:i w:val="0"/>
                <w:color w:val="000000"/>
                <w:sz w:val="22"/>
                <w:szCs w:val="22"/>
                <w:u w:val="none"/>
              </w:rPr>
            </w:pPr>
          </w:p>
        </w:tc>
      </w:tr>
      <w:tr>
        <w:trPr>
          <w:trHeight w:val="301" w:hRule="atLeast"/>
          <w:jc w:val="center"/>
        </w:trPr>
        <w:tc>
          <w:tcPr>
            <w:tcW w:w="3652" w:type="dxa"/>
            <w:gridSpan w:val="4"/>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栏次</w:t>
            </w:r>
          </w:p>
        </w:tc>
        <w:tc>
          <w:tcPr>
            <w:tcW w:w="1946"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1</w:t>
            </w:r>
          </w:p>
        </w:tc>
        <w:tc>
          <w:tcPr>
            <w:tcW w:w="1112"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2</w:t>
            </w:r>
          </w:p>
        </w:tc>
        <w:tc>
          <w:tcPr>
            <w:tcW w:w="1338"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3</w:t>
            </w:r>
          </w:p>
        </w:tc>
        <w:tc>
          <w:tcPr>
            <w:tcW w:w="1946"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4</w:t>
            </w:r>
          </w:p>
        </w:tc>
        <w:tc>
          <w:tcPr>
            <w:tcW w:w="1338"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5</w:t>
            </w:r>
          </w:p>
        </w:tc>
        <w:tc>
          <w:tcPr>
            <w:tcW w:w="1253" w:type="dxa"/>
            <w:tcBorders>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6</w:t>
            </w:r>
          </w:p>
        </w:tc>
      </w:tr>
      <w:tr>
        <w:trPr>
          <w:trHeight w:val="301" w:hRule="atLeast"/>
          <w:jc w:val="center"/>
        </w:trPr>
        <w:tc>
          <w:tcPr>
            <w:tcW w:w="3652" w:type="dxa"/>
            <w:gridSpan w:val="4"/>
            <w:tcBorders>
              <w:left w:val="single" w:color="000000" w:sz="4" w:space="0"/>
              <w:bottom w:val="single" w:color="000000" w:sz="4" w:space="0"/>
              <w:right w:val="single" w:color="000000" w:sz="4" w:space="0"/>
            </w:tcBorders>
            <w:shd w:val="clear" w:color="FFFFFF" w:fill="C0C0C0"/>
            <w:vAlign w:val="center"/>
          </w:tcPr>
          <w:p>
            <w:pPr>
              <w:widowControl/>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合计</w:t>
            </w:r>
          </w:p>
        </w:tc>
        <w:tc>
          <w:tcPr>
            <w:tcW w:w="1946" w:type="dxa"/>
            <w:tcBorders>
              <w:bottom w:val="single" w:color="000000" w:sz="4" w:space="0"/>
              <w:right w:val="single" w:color="000000" w:sz="4" w:space="0"/>
            </w:tcBorders>
            <w:vAlign w:val="center"/>
          </w:tcPr>
          <w:p>
            <w:pPr>
              <w:jc w:val="right"/>
              <w:rPr>
                <w:rFonts w:hint="eastAsia" w:ascii="宋体" w:hAnsi="宋体" w:eastAsia="宋体" w:cs="宋体"/>
                <w:b/>
                <w:i w:val="0"/>
                <w:color w:val="000000"/>
                <w:sz w:val="22"/>
                <w:szCs w:val="22"/>
                <w:u w:val="none"/>
              </w:rPr>
            </w:pPr>
          </w:p>
        </w:tc>
        <w:tc>
          <w:tcPr>
            <w:tcW w:w="1112" w:type="dxa"/>
            <w:tcBorders>
              <w:bottom w:val="single" w:color="000000" w:sz="4" w:space="0"/>
              <w:right w:val="single" w:color="000000" w:sz="4" w:space="0"/>
            </w:tcBorders>
            <w:vAlign w:val="center"/>
          </w:tcPr>
          <w:p>
            <w:pPr>
              <w:jc w:val="right"/>
              <w:rPr>
                <w:rFonts w:hint="eastAsia" w:ascii="宋体" w:hAnsi="宋体" w:eastAsia="宋体" w:cs="宋体"/>
                <w:b/>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b/>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b/>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b/>
                <w:i w:val="0"/>
                <w:color w:val="000000"/>
                <w:sz w:val="22"/>
                <w:szCs w:val="22"/>
                <w:u w:val="none"/>
              </w:rPr>
            </w:pPr>
          </w:p>
        </w:tc>
        <w:tc>
          <w:tcPr>
            <w:tcW w:w="1253" w:type="dxa"/>
            <w:tcBorders>
              <w:bottom w:val="single" w:color="000000" w:sz="4" w:space="0"/>
              <w:right w:val="single" w:color="000000" w:sz="4" w:space="0"/>
            </w:tcBorders>
            <w:vAlign w:val="center"/>
          </w:tcPr>
          <w:p>
            <w:pPr>
              <w:jc w:val="right"/>
              <w:rPr>
                <w:rFonts w:hint="eastAsia" w:ascii="宋体" w:hAnsi="宋体" w:eastAsia="宋体" w:cs="宋体"/>
                <w:b/>
                <w:i w:val="0"/>
                <w:color w:val="000000"/>
                <w:sz w:val="22"/>
                <w:szCs w:val="22"/>
                <w:u w:val="none"/>
              </w:rPr>
            </w:pPr>
          </w:p>
        </w:tc>
      </w:tr>
      <w:tr>
        <w:trPr>
          <w:trHeight w:val="301" w:hRule="atLeast"/>
          <w:jc w:val="center"/>
        </w:trPr>
        <w:tc>
          <w:tcPr>
            <w:tcW w:w="1388" w:type="dxa"/>
            <w:gridSpan w:val="3"/>
            <w:tcBorders>
              <w:left w:val="single" w:color="000000" w:sz="4" w:space="0"/>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2264" w:type="dxa"/>
            <w:tcBorders>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11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253"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r>
      <w:tr>
        <w:trPr>
          <w:trHeight w:val="301" w:hRule="atLeast"/>
          <w:jc w:val="center"/>
        </w:trPr>
        <w:tc>
          <w:tcPr>
            <w:tcW w:w="1388" w:type="dxa"/>
            <w:gridSpan w:val="3"/>
            <w:tcBorders>
              <w:left w:val="single" w:color="000000" w:sz="4" w:space="0"/>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2264" w:type="dxa"/>
            <w:tcBorders>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11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253"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r>
      <w:tr>
        <w:trPr>
          <w:trHeight w:val="301" w:hRule="atLeast"/>
          <w:jc w:val="center"/>
        </w:trPr>
        <w:tc>
          <w:tcPr>
            <w:tcW w:w="1388" w:type="dxa"/>
            <w:gridSpan w:val="3"/>
            <w:tcBorders>
              <w:left w:val="single" w:color="000000" w:sz="4" w:space="0"/>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2264" w:type="dxa"/>
            <w:tcBorders>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11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253"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r>
      <w:tr>
        <w:trPr>
          <w:trHeight w:val="301" w:hRule="atLeast"/>
          <w:jc w:val="center"/>
        </w:trPr>
        <w:tc>
          <w:tcPr>
            <w:tcW w:w="1388" w:type="dxa"/>
            <w:gridSpan w:val="3"/>
            <w:tcBorders>
              <w:left w:val="single" w:color="000000" w:sz="4" w:space="0"/>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2264" w:type="dxa"/>
            <w:tcBorders>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11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253"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r>
      <w:tr>
        <w:trPr>
          <w:trHeight w:val="301" w:hRule="atLeast"/>
          <w:jc w:val="center"/>
        </w:trPr>
        <w:tc>
          <w:tcPr>
            <w:tcW w:w="1388" w:type="dxa"/>
            <w:gridSpan w:val="3"/>
            <w:tcBorders>
              <w:left w:val="single" w:color="000000" w:sz="4" w:space="0"/>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2264" w:type="dxa"/>
            <w:tcBorders>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11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253"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r>
      <w:tr>
        <w:trPr>
          <w:trHeight w:val="301" w:hRule="atLeast"/>
          <w:jc w:val="center"/>
        </w:trPr>
        <w:tc>
          <w:tcPr>
            <w:tcW w:w="1388" w:type="dxa"/>
            <w:gridSpan w:val="3"/>
            <w:tcBorders>
              <w:left w:val="single" w:color="000000" w:sz="4" w:space="0"/>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2264" w:type="dxa"/>
            <w:tcBorders>
              <w:bottom w:val="single" w:color="000000" w:sz="4" w:space="0"/>
              <w:right w:val="single" w:color="000000" w:sz="4" w:space="0"/>
            </w:tcBorders>
            <w:vAlign w:val="center"/>
          </w:tcPr>
          <w:p>
            <w:pPr>
              <w:jc w:val="lef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112"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946"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338"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c>
          <w:tcPr>
            <w:tcW w:w="1253" w:type="dxa"/>
            <w:tcBorders>
              <w:bottom w:val="single" w:color="000000" w:sz="4" w:space="0"/>
              <w:right w:val="single" w:color="000000" w:sz="4" w:space="0"/>
            </w:tcBorders>
            <w:vAlign w:val="center"/>
          </w:tcPr>
          <w:p>
            <w:pPr>
              <w:jc w:val="right"/>
              <w:rPr>
                <w:rFonts w:hint="eastAsia" w:ascii="宋体" w:hAnsi="宋体" w:eastAsia="宋体" w:cs="宋体"/>
                <w:i w:val="0"/>
                <w:color w:val="000000"/>
                <w:sz w:val="22"/>
                <w:szCs w:val="22"/>
                <w:u w:val="none"/>
              </w:rPr>
            </w:pPr>
          </w:p>
        </w:tc>
      </w:tr>
      <w:tr>
        <w:trPr>
          <w:trHeight w:val="301" w:hRule="atLeast"/>
          <w:jc w:val="center"/>
        </w:trPr>
        <w:tc>
          <w:tcPr>
            <w:tcW w:w="12585" w:type="dxa"/>
            <w:gridSpan w:val="10"/>
            <w:vAlign w:val="center"/>
          </w:tcPr>
          <w:p>
            <w:pPr>
              <w:widowControl/>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rPr>
              <w:t>注：本表反映部门本年度政府性基金预算财政拨款收入、支出及结转和结余情况。本表金额转换为万元时，因四舍五入可能存在尾差。</w:t>
            </w:r>
          </w:p>
        </w:tc>
      </w:tr>
    </w:tbl>
    <w:p>
      <w:pPr>
        <w:jc w:val="center"/>
      </w:pPr>
    </w:p>
    <w:p>
      <w:pPr>
        <w:jc w:val="center"/>
        <w:outlineLvl w:val="9"/>
        <w:sectPr>
          <w:pgSz w:w="16838" w:h="11906" w:orient="landscape"/>
          <w:pgMar w:top="1800" w:right="1440" w:bottom="1800" w:left="1440" w:header="720" w:footer="720" w:gutter="0"/>
          <w:pgNumType w:fmt="numberInDash"/>
          <w:cols w:space="720" w:num="1"/>
          <w:docGrid w:type="lines" w:linePitch="312"/>
        </w:sectPr>
      </w:pPr>
      <w:r>
        <w:rPr>
          <w:rFonts w:hint="eastAsia" w:ascii="仿宋_GB2312" w:hAnsi="仿宋_GB2312" w:eastAsia="仿宋_GB2312" w:cs="仿宋_GB2312"/>
          <w:color w:val="000000"/>
          <w:sz w:val="32"/>
          <w:szCs w:val="32"/>
          <w:highlight w:val="yellow"/>
          <w:lang w:val="en-US" w:eastAsia="zh-CN"/>
        </w:rPr>
        <w:t>说明：我部门没有政府性基金收入，也没有使用政府性基金安排的支出，故本表无数据。</w:t>
      </w:r>
    </w:p>
    <w:p>
      <w:pPr>
        <w:jc w:val="cente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jc w:val="center"/>
        <w:outlineLvl w:val="0"/>
        <w:rPr>
          <w:rFonts w:hint="eastAsia" w:ascii="黑体" w:hAnsi="黑体" w:eastAsia="黑体" w:cs="黑体"/>
          <w:color w:val="auto"/>
          <w:sz w:val="48"/>
          <w:szCs w:val="48"/>
          <w:highlight w:val="none"/>
        </w:rPr>
      </w:pPr>
      <w:r>
        <w:rPr>
          <w:rFonts w:hint="eastAsia" w:ascii="黑体" w:hAnsi="黑体" w:eastAsia="黑体" w:cs="黑体"/>
          <w:color w:val="auto"/>
          <w:sz w:val="48"/>
          <w:szCs w:val="48"/>
          <w:highlight w:val="none"/>
        </w:rPr>
        <w:t>第</w:t>
      </w:r>
      <w:r>
        <w:rPr>
          <w:rFonts w:hint="eastAsia" w:ascii="黑体" w:hAnsi="黑体" w:eastAsia="黑体" w:cs="黑体"/>
          <w:color w:val="auto"/>
          <w:sz w:val="48"/>
          <w:szCs w:val="48"/>
          <w:highlight w:val="none"/>
          <w:lang w:eastAsia="zh-CN"/>
        </w:rPr>
        <w:t>三</w:t>
      </w:r>
      <w:r>
        <w:rPr>
          <w:rFonts w:hint="eastAsia" w:ascii="黑体" w:hAnsi="黑体" w:eastAsia="黑体" w:cs="黑体"/>
          <w:color w:val="auto"/>
          <w:sz w:val="48"/>
          <w:szCs w:val="48"/>
          <w:highlight w:val="none"/>
        </w:rPr>
        <w:t>部分</w:t>
      </w:r>
      <w:r>
        <w:rPr>
          <w:rFonts w:hint="eastAsia" w:ascii="黑体" w:hAnsi="黑体" w:eastAsia="黑体" w:cs="黑体"/>
          <w:color w:val="auto"/>
          <w:sz w:val="48"/>
          <w:szCs w:val="48"/>
          <w:highlight w:val="none"/>
          <w:lang w:val="en-US" w:eastAsia="zh-CN"/>
        </w:rPr>
        <w:t xml:space="preserve">  </w:t>
      </w:r>
      <w:r>
        <w:rPr>
          <w:rFonts w:hint="eastAsia" w:ascii="黑体" w:hAnsi="黑体" w:eastAsia="黑体" w:cs="黑体"/>
          <w:color w:val="auto"/>
          <w:sz w:val="48"/>
          <w:szCs w:val="48"/>
          <w:highlight w:val="none"/>
          <w:lang w:eastAsia="zh-CN"/>
        </w:rPr>
        <w:t>201</w:t>
      </w:r>
      <w:r>
        <w:rPr>
          <w:rFonts w:hint="eastAsia" w:ascii="黑体" w:hAnsi="黑体" w:eastAsia="黑体" w:cs="黑体"/>
          <w:color w:val="auto"/>
          <w:sz w:val="48"/>
          <w:szCs w:val="48"/>
          <w:highlight w:val="none"/>
          <w:lang w:val="en-US" w:eastAsia="zh-CN"/>
        </w:rPr>
        <w:t>9</w:t>
      </w:r>
      <w:r>
        <w:rPr>
          <w:rFonts w:hint="eastAsia" w:ascii="黑体" w:hAnsi="黑体" w:eastAsia="黑体" w:cs="黑体"/>
          <w:color w:val="auto"/>
          <w:sz w:val="48"/>
          <w:szCs w:val="48"/>
          <w:highlight w:val="none"/>
          <w:lang w:eastAsia="zh-CN"/>
        </w:rPr>
        <w:t>年度</w:t>
      </w:r>
      <w:r>
        <w:rPr>
          <w:rFonts w:hint="eastAsia" w:ascii="黑体" w:hAnsi="黑体" w:eastAsia="黑体" w:cs="黑体"/>
          <w:color w:val="auto"/>
          <w:sz w:val="48"/>
          <w:szCs w:val="48"/>
          <w:highlight w:val="none"/>
        </w:rPr>
        <w:t>部门决算情况说明</w:t>
      </w:r>
    </w:p>
    <w:p>
      <w:pPr>
        <w:widowControl/>
        <w:jc w:val="left"/>
        <w:sectPr>
          <w:pgSz w:w="11906" w:h="16838"/>
          <w:pgMar w:top="1440" w:right="1800" w:bottom="1440" w:left="1800" w:header="720" w:footer="720" w:gutter="0"/>
          <w:pgNumType w:fmt="numberInDash"/>
          <w:cols w:space="720" w:num="1"/>
          <w:docGrid w:type="lines" w:linePitch="312"/>
        </w:sectPr>
      </w:pP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一、收入支出决算总体情况说明</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2019年度收、支总计均为</w:t>
      </w:r>
      <w:r>
        <w:rPr>
          <w:rFonts w:hint="eastAsia" w:ascii="仿宋_GB2312" w:hAnsi="仿宋_GB2312" w:eastAsia="仿宋_GB2312" w:cs="仿宋_GB2312"/>
          <w:color w:val="auto"/>
          <w:sz w:val="32"/>
          <w:szCs w:val="32"/>
          <w:highlight w:val="none"/>
          <w:lang w:val="zh-CN" w:eastAsia="zh-CN"/>
        </w:rPr>
        <w:t>650.24</w:t>
      </w:r>
      <w:r>
        <w:rPr>
          <w:rFonts w:hint="eastAsia" w:ascii="仿宋_GB2312" w:hAnsi="仿宋_GB2312" w:eastAsia="仿宋_GB2312" w:cs="仿宋_GB2312"/>
          <w:color w:val="auto"/>
          <w:sz w:val="32"/>
          <w:szCs w:val="32"/>
          <w:highlight w:val="none"/>
          <w:lang w:val="en-US" w:eastAsia="zh-CN"/>
        </w:rPr>
        <w:t>万元。与上年度相比，收、支总计各</w:t>
      </w:r>
      <w:r>
        <w:rPr>
          <w:rFonts w:hint="eastAsia" w:ascii="仿宋_GB2312" w:hAnsi="仿宋_GB2312" w:eastAsia="仿宋_GB2312" w:cs="仿宋_GB2312"/>
          <w:color w:val="auto"/>
          <w:sz w:val="32"/>
          <w:szCs w:val="32"/>
          <w:highlight w:val="none"/>
          <w:lang w:val="zh-CN" w:eastAsia="zh-CN"/>
        </w:rPr>
        <w:t>减少75.98</w:t>
      </w:r>
      <w:r>
        <w:rPr>
          <w:rFonts w:hint="eastAsia" w:ascii="仿宋_GB2312" w:hAnsi="仿宋_GB2312" w:eastAsia="仿宋_GB2312" w:cs="仿宋_GB2312"/>
          <w:color w:val="auto"/>
          <w:sz w:val="32"/>
          <w:szCs w:val="32"/>
          <w:highlight w:val="none"/>
          <w:lang w:val="en-US" w:eastAsia="zh-CN"/>
        </w:rPr>
        <w:t>万元，</w:t>
      </w:r>
      <w:r>
        <w:rPr>
          <w:rFonts w:hint="eastAsia" w:ascii="宋体" w:hAnsi="宋体"/>
          <w:sz w:val="32"/>
          <w:szCs w:val="32"/>
          <w:lang w:val="zh-CN"/>
        </w:rPr>
        <w:t>下降</w:t>
      </w:r>
      <w:r>
        <w:rPr>
          <w:rFonts w:hint="eastAsia" w:ascii="宋体" w:hAnsi="宋体"/>
          <w:sz w:val="32"/>
          <w:szCs w:val="32"/>
          <w:lang w:val="en-US" w:eastAsia="zh-CN"/>
        </w:rPr>
        <w:t>1</w:t>
      </w:r>
      <w:r>
        <w:rPr>
          <w:rFonts w:hint="eastAsia" w:ascii="宋体" w:hAnsi="宋体"/>
          <w:sz w:val="32"/>
          <w:szCs w:val="32"/>
          <w:lang w:val="zh-CN"/>
        </w:rPr>
        <w:t>0.46%</w:t>
      </w:r>
      <w:r>
        <w:rPr>
          <w:rFonts w:hint="eastAsia" w:ascii="仿宋_GB2312" w:hAnsi="仿宋_GB2312" w:eastAsia="仿宋_GB2312" w:cs="仿宋_GB2312"/>
          <w:color w:val="auto"/>
          <w:sz w:val="32"/>
          <w:szCs w:val="32"/>
          <w:highlight w:val="none"/>
          <w:lang w:val="en-US" w:eastAsia="zh-CN"/>
        </w:rPr>
        <w:t>。主要原因是一是社会保险缴费基数下调，各类社会保险支出减少；二是社区矫正监管平台、公共法律服务中心建设及司法所信息化平台等建设逐步完善，投入减少。</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二、收入决算情况说明</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2019年度收入合计597.58万元，其中：</w:t>
      </w:r>
      <w:r>
        <w:rPr>
          <w:rFonts w:hint="eastAsia" w:ascii="仿宋_GB2312" w:hAnsi="仿宋_GB2312" w:eastAsia="仿宋_GB2312" w:cs="仿宋_GB2312"/>
          <w:color w:val="auto"/>
          <w:sz w:val="32"/>
          <w:szCs w:val="32"/>
          <w:highlight w:val="none"/>
          <w:lang w:val="en-US" w:eastAsia="zh-CN"/>
        </w:rPr>
        <w:t>财政拨款收入</w:t>
      </w:r>
      <w:r>
        <w:rPr>
          <w:rFonts w:hint="default" w:ascii="仿宋_GB2312" w:hAnsi="仿宋_GB2312" w:eastAsia="仿宋_GB2312" w:cs="仿宋_GB2312"/>
          <w:color w:val="auto"/>
          <w:sz w:val="32"/>
          <w:szCs w:val="32"/>
          <w:highlight w:val="none"/>
          <w:lang w:val="en-US" w:eastAsia="zh-CN"/>
        </w:rPr>
        <w:t>589.57</w:t>
      </w:r>
      <w:r>
        <w:rPr>
          <w:rFonts w:hint="eastAsia" w:ascii="仿宋_GB2312" w:hAnsi="仿宋_GB2312" w:eastAsia="仿宋_GB2312" w:cs="仿宋_GB2312"/>
          <w:color w:val="auto"/>
          <w:sz w:val="32"/>
          <w:szCs w:val="32"/>
          <w:highlight w:val="none"/>
          <w:lang w:val="en-US" w:eastAsia="zh-CN"/>
        </w:rPr>
        <w:t>万元，占</w:t>
      </w:r>
      <w:r>
        <w:rPr>
          <w:rFonts w:hint="default" w:ascii="仿宋_GB2312" w:hAnsi="仿宋_GB2312" w:eastAsia="仿宋_GB2312" w:cs="仿宋_GB2312"/>
          <w:color w:val="auto"/>
          <w:sz w:val="32"/>
          <w:szCs w:val="32"/>
          <w:highlight w:val="none"/>
          <w:lang w:val="en-US" w:eastAsia="zh-CN"/>
        </w:rPr>
        <w:t>98.66%</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上级补助收入0万元，占0%；事业收入0万元，占0%；经营收入0万元，占0%；附属单位上缴收入0万元，占0%；其他收入8.01万元，占1.34%。</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三、支出决算情况说明</w:t>
      </w:r>
    </w:p>
    <w:p>
      <w:pPr>
        <w:widowControl/>
        <w:wordWrap/>
        <w:adjustRightInd/>
        <w:snapToGrid/>
        <w:spacing w:line="590" w:lineRule="exact"/>
        <w:ind w:left="0" w:leftChars="0" w:right="0" w:firstLine="640" w:firstLineChars="200"/>
        <w:jc w:val="both"/>
        <w:textAlignment w:val="auto"/>
        <w:outlineLvl w:val="9"/>
        <w:rPr>
          <w:rFonts w:hint="default"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2019年度支出合计549.26万元，其中：基本支出504.3万元，占91.81%；项目支出44.96万元，占8.19%。</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四、财政拨款收入支出决算总体情况说明</w:t>
      </w:r>
    </w:p>
    <w:p>
      <w:pPr>
        <w:widowControl/>
        <w:wordWrap/>
        <w:adjustRightInd/>
        <w:snapToGrid/>
        <w:spacing w:line="590" w:lineRule="exact"/>
        <w:ind w:left="0" w:leftChars="0" w:right="0" w:firstLine="640" w:firstLineChars="200"/>
        <w:jc w:val="both"/>
        <w:textAlignment w:val="auto"/>
        <w:outlineLvl w:val="9"/>
        <w:rPr>
          <w:rFonts w:hint="default"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2019年度财政拨款收、支总计均为642.23万元。与上年度相比，财政拨款收、支总计各减少79.69万元，下降11.04%。主要原因是</w:t>
      </w:r>
      <w:r>
        <w:rPr>
          <w:rFonts w:hint="eastAsia" w:ascii="仿宋_GB2312" w:hAnsi="仿宋_GB2312" w:eastAsia="仿宋_GB2312" w:cs="仿宋_GB2312"/>
          <w:color w:val="auto"/>
          <w:sz w:val="32"/>
          <w:szCs w:val="32"/>
          <w:highlight w:val="none"/>
          <w:lang w:val="en-US" w:eastAsia="zh-CN"/>
        </w:rPr>
        <w:t>社会保险缴费基数下调，各类社会保险支出减少；社区矫正监管平台、公共法律服务中心建设及司法所信息化平台等建设逐步完善，投入减少</w:t>
      </w:r>
      <w:r>
        <w:rPr>
          <w:rFonts w:hint="eastAsia" w:ascii="仿宋_GB2312" w:hAnsi="仿宋_GB2312" w:eastAsia="仿宋_GB2312" w:cs="仿宋_GB2312"/>
          <w:color w:val="auto"/>
          <w:sz w:val="32"/>
          <w:szCs w:val="32"/>
          <w:highlight w:val="none"/>
          <w:lang w:val="zh-CN" w:eastAsia="zh-CN"/>
        </w:rPr>
        <w:t>。</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五、一般公共预算财政拨款支出决算情况说明</w:t>
      </w:r>
    </w:p>
    <w:p>
      <w:pPr>
        <w:widowControl/>
        <w:wordWrap/>
        <w:adjustRightInd/>
        <w:snapToGrid/>
        <w:spacing w:line="590" w:lineRule="exact"/>
        <w:ind w:left="0" w:leftChars="0" w:right="0" w:firstLine="643" w:firstLineChars="200"/>
        <w:jc w:val="both"/>
        <w:textAlignment w:val="auto"/>
        <w:outlineLvl w:val="9"/>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（一）总体情况。</w:t>
      </w:r>
    </w:p>
    <w:p>
      <w:pPr>
        <w:widowControl/>
        <w:wordWrap/>
        <w:adjustRightInd/>
        <w:snapToGrid/>
        <w:spacing w:line="590" w:lineRule="exact"/>
        <w:ind w:left="0" w:leftChars="0" w:right="0" w:firstLine="640" w:firstLineChars="200"/>
        <w:jc w:val="both"/>
        <w:textAlignment w:val="auto"/>
        <w:outlineLvl w:val="9"/>
        <w:rPr>
          <w:rFonts w:hint="default"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2019年度一般公共预算财政拨款支出543.56万元，占本年支出合计的98.96%。与上年度相比，一般公共预算财政拨款支出减少110.22万元，下降16.8</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社会保障和就业支出、医疗卫生和计划生育支出、住房保障支出减少；公共安全支出减少</w:t>
      </w:r>
      <w:r>
        <w:rPr>
          <w:rFonts w:hint="eastAsia" w:ascii="仿宋_GB2312" w:hAnsi="仿宋_GB2312" w:eastAsia="仿宋_GB2312" w:cs="仿宋_GB2312"/>
          <w:color w:val="auto"/>
          <w:sz w:val="32"/>
          <w:szCs w:val="32"/>
          <w:highlight w:val="none"/>
          <w:lang w:val="zh-CN" w:eastAsia="zh-CN"/>
        </w:rPr>
        <w:t>。</w:t>
      </w:r>
    </w:p>
    <w:p>
      <w:pPr>
        <w:widowControl/>
        <w:wordWrap/>
        <w:adjustRightInd/>
        <w:snapToGrid/>
        <w:spacing w:line="590" w:lineRule="exact"/>
        <w:ind w:left="0" w:leftChars="0" w:right="0" w:firstLine="643" w:firstLineChars="200"/>
        <w:jc w:val="both"/>
        <w:textAlignment w:val="auto"/>
        <w:outlineLvl w:val="9"/>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（二）结构情况。</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2019年度一般公共预算财政拨款支出543.56万元，主要用于以下方面：公共安全支出支出459.67万元，占84.57%；社会保障和就业支出39.21万元，占7.21%；医疗卫生和计划生育支出22.34万元，占4.11%；住房保障支出22.34万元，占4.11%。</w:t>
      </w:r>
    </w:p>
    <w:p>
      <w:pPr>
        <w:widowControl/>
        <w:wordWrap/>
        <w:adjustRightInd/>
        <w:snapToGrid/>
        <w:spacing w:line="590" w:lineRule="exact"/>
        <w:ind w:left="0" w:leftChars="0" w:right="0" w:firstLine="643" w:firstLineChars="200"/>
        <w:jc w:val="both"/>
        <w:textAlignment w:val="auto"/>
        <w:outlineLvl w:val="9"/>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（三）具体情况。</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2019年度一般公共预算财政拨款支出年初预算为543.58万元，支出决算为543.56万元，完成年初预算的99.99%。其中：</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公共安全支出（类）司法（款）一般行政管理事务（项）。年初预算为45万元，支出决算为44.96万元，完成年初预算的99.91%。</w:t>
      </w:r>
      <w:r>
        <w:rPr>
          <w:rFonts w:hint="eastAsia" w:ascii="仿宋_GB2312" w:hAnsi="仿宋_GB2312" w:eastAsia="仿宋_GB2312" w:cs="仿宋_GB2312"/>
          <w:color w:val="auto"/>
          <w:sz w:val="32"/>
          <w:szCs w:val="32"/>
          <w:highlight w:val="none"/>
          <w:lang w:val="zh-CN" w:eastAsia="zh-CN"/>
        </w:rPr>
        <w:t>决算数与年初预算数存在差异的主要原因是</w:t>
      </w:r>
      <w:r>
        <w:rPr>
          <w:rFonts w:hint="eastAsia" w:ascii="仿宋_GB2312" w:hAnsi="仿宋_GB2312" w:eastAsia="仿宋_GB2312" w:cs="仿宋_GB2312"/>
          <w:color w:val="auto"/>
          <w:sz w:val="32"/>
          <w:szCs w:val="32"/>
          <w:highlight w:val="none"/>
          <w:lang w:val="en-US" w:eastAsia="zh-CN"/>
        </w:rPr>
        <w:t>专项经费支出结余400元。</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公共安全支出（类）司法（款）行政运行（项）。年初预算为352.25万元，支出决算为352.25万元，完成年初预算的100%。</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六、一般公共预算财政拨款基本支出决算情况说明</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2019年度一般公共预算财政拨款基本支出498.6万元。其中：人员经费437.28万元，主要包括：基本工资、津贴补贴、机关事业单位基本养老保险缴费、职业年金缴费、其他社会保障缴费、其他工资福利支出、退休费、抚恤金、生活补助、医疗费、奖励金、住房公积金、采暖补贴、物业服务补贴、其他对个人和家庭的补助支出；公用经费61.32万元，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其他资本性支出。</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七、一般公共预算财政拨款“三公”经费支出决算情况说明</w:t>
      </w:r>
    </w:p>
    <w:p>
      <w:pPr>
        <w:widowControl/>
        <w:wordWrap/>
        <w:adjustRightInd/>
        <w:snapToGrid/>
        <w:spacing w:line="590" w:lineRule="exact"/>
        <w:ind w:left="0" w:leftChars="0" w:right="0" w:firstLine="643" w:firstLineChars="200"/>
        <w:jc w:val="both"/>
        <w:textAlignment w:val="auto"/>
        <w:outlineLvl w:val="2"/>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（一）“三公”经费财政拨款支出决算总体情况说明。</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2019年度“三公”经费财政拨款支出预算为7.6</w:t>
      </w:r>
      <w:bookmarkStart w:id="0" w:name="_GoBack"/>
      <w:bookmarkEnd w:id="0"/>
      <w:r>
        <w:rPr>
          <w:rFonts w:hint="eastAsia" w:ascii="仿宋_GB2312" w:hAnsi="仿宋_GB2312" w:eastAsia="仿宋_GB2312" w:cs="仿宋_GB2312"/>
          <w:color w:val="auto"/>
          <w:sz w:val="32"/>
          <w:szCs w:val="32"/>
          <w:highlight w:val="none"/>
          <w:lang w:val="en-US" w:eastAsia="zh-CN"/>
        </w:rPr>
        <w:t>万元，支出决算为1.27万元，完成预算的16.71%。2019年度“三公”经费支出决算数与预算数存在差异的主要原因是规范公务用车使用管理，实施公车改革。</w:t>
      </w:r>
    </w:p>
    <w:p>
      <w:pPr>
        <w:widowControl/>
        <w:wordWrap/>
        <w:adjustRightInd/>
        <w:snapToGrid/>
        <w:spacing w:line="590" w:lineRule="exact"/>
        <w:ind w:left="0" w:leftChars="0" w:right="0" w:firstLine="643" w:firstLineChars="200"/>
        <w:jc w:val="both"/>
        <w:textAlignment w:val="auto"/>
        <w:outlineLvl w:val="2"/>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（二）“三公”经费财政拨款支出决算具体情况说明。</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2019年度“三公”经费财政拨款支出决算中，公务用车购置及运行费支出决算1.27万元，完成预算的16.71%，占100%；具体情况如下：</w:t>
      </w:r>
    </w:p>
    <w:p>
      <w:pPr>
        <w:widowControl/>
        <w:wordWrap/>
        <w:adjustRightInd/>
        <w:snapToGrid/>
        <w:spacing w:line="590" w:lineRule="exact"/>
        <w:ind w:left="0" w:leftChars="0" w:right="0" w:firstLine="643"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1．公务用车购置及运行费</w:t>
      </w:r>
      <w:r>
        <w:rPr>
          <w:rFonts w:hint="eastAsia" w:ascii="仿宋_GB2312" w:hAnsi="仿宋_GB2312" w:eastAsia="仿宋_GB2312" w:cs="仿宋_GB2312"/>
          <w:b w:val="0"/>
          <w:bCs w:val="0"/>
          <w:color w:val="auto"/>
          <w:sz w:val="32"/>
          <w:szCs w:val="32"/>
          <w:highlight w:val="none"/>
          <w:lang w:val="en-US" w:eastAsia="zh-CN"/>
        </w:rPr>
        <w:t>年</w:t>
      </w:r>
      <w:r>
        <w:rPr>
          <w:rFonts w:hint="eastAsia" w:ascii="仿宋_GB2312" w:hAnsi="仿宋_GB2312" w:eastAsia="仿宋_GB2312" w:cs="仿宋_GB2312"/>
          <w:color w:val="auto"/>
          <w:sz w:val="32"/>
          <w:szCs w:val="32"/>
          <w:highlight w:val="none"/>
          <w:lang w:val="en-US" w:eastAsia="zh-CN"/>
        </w:rPr>
        <w:t>初预算为7.4万元，支出决算为1.27万元，完成年初预算的17.16%。决算数与年初预算数存在差异的主要原因是规范公务用车使用管理，实施公车改革。其中：</w:t>
      </w:r>
    </w:p>
    <w:p>
      <w:pPr>
        <w:widowControl/>
        <w:wordWrap/>
        <w:adjustRightInd/>
        <w:snapToGrid/>
        <w:spacing w:line="590" w:lineRule="exact"/>
        <w:ind w:left="0" w:leftChars="0" w:right="0" w:firstLine="643"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公务用车运行支出</w:t>
      </w:r>
      <w:r>
        <w:rPr>
          <w:rFonts w:hint="eastAsia" w:ascii="仿宋_GB2312" w:hAnsi="仿宋_GB2312" w:eastAsia="仿宋_GB2312" w:cs="仿宋_GB2312"/>
          <w:color w:val="auto"/>
          <w:sz w:val="32"/>
          <w:szCs w:val="32"/>
          <w:highlight w:val="none"/>
          <w:lang w:val="en-US" w:eastAsia="zh-CN"/>
        </w:rPr>
        <w:t>1.27万元。主要用于公务用车的燃料费、维修费、过路过桥费、保险费等公务用车维护费用。公务用车运行费较上年减少51.34%，减少主要原因是规范管理公务用车，注意日常车辆维护。</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2019年度期末，部门财政拨款公务用车（我单位为执法执勤车辆）保有量为5辆。</w:t>
      </w:r>
    </w:p>
    <w:p>
      <w:pPr>
        <w:widowControl/>
        <w:numPr>
          <w:numId w:val="0"/>
        </w:numPr>
        <w:wordWrap/>
        <w:adjustRightInd/>
        <w:snapToGrid/>
        <w:spacing w:line="590" w:lineRule="exact"/>
        <w:ind w:right="0" w:firstLine="643"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2.公务接待费</w:t>
      </w:r>
      <w:r>
        <w:rPr>
          <w:rFonts w:hint="eastAsia" w:ascii="仿宋_GB2312" w:hAnsi="仿宋_GB2312" w:eastAsia="仿宋_GB2312" w:cs="仿宋_GB2312"/>
          <w:color w:val="auto"/>
          <w:sz w:val="32"/>
          <w:szCs w:val="32"/>
          <w:highlight w:val="none"/>
          <w:lang w:val="en-US" w:eastAsia="zh-CN"/>
        </w:rPr>
        <w:t>初预算为0.2万元，支出决算为0万元，决算数与年初预算数存在差异的主要原因是无公务接待。公务接待费为0万元。</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八、预算绩效情况说明</w:t>
      </w:r>
    </w:p>
    <w:p>
      <w:pPr>
        <w:widowControl/>
        <w:wordWrap/>
        <w:adjustRightInd/>
        <w:snapToGrid/>
        <w:spacing w:line="590" w:lineRule="exact"/>
        <w:ind w:left="0" w:leftChars="0" w:right="0" w:firstLine="643" w:firstLineChars="200"/>
        <w:jc w:val="both"/>
        <w:textAlignment w:val="auto"/>
        <w:outlineLvl w:val="2"/>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（一）绩效管理工作开展情况。</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我单位2019年没有预算绩效管理项目工作。</w:t>
      </w:r>
    </w:p>
    <w:p>
      <w:pPr>
        <w:widowControl/>
        <w:wordWrap/>
        <w:adjustRightInd/>
        <w:snapToGrid/>
        <w:spacing w:line="590" w:lineRule="exact"/>
        <w:ind w:left="0" w:leftChars="0" w:right="0" w:firstLine="643" w:firstLineChars="200"/>
        <w:jc w:val="both"/>
        <w:textAlignment w:val="auto"/>
        <w:outlineLvl w:val="2"/>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（二）项目绩效自评结果。</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我单位2019年没有预算绩效管理项目工作。</w:t>
      </w:r>
    </w:p>
    <w:p>
      <w:pPr>
        <w:widowControl/>
        <w:wordWrap/>
        <w:adjustRightInd/>
        <w:snapToGrid/>
        <w:spacing w:line="590" w:lineRule="exact"/>
        <w:ind w:left="0" w:leftChars="0" w:right="0" w:firstLine="643" w:firstLineChars="200"/>
        <w:jc w:val="both"/>
        <w:textAlignment w:val="auto"/>
        <w:outlineLvl w:val="2"/>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（三）重点绩效评价结果。</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我单位2019年没有预算绩效管理项目工作。</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九、政府性基金预算财政拨款支出决算情况说明</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2019年度政府性基金预算财政拨款支出年初预算为0万元，支出决算为0万元，完成年初预算的0%。</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十、机关运行经费支出情况说明</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2019年度机关运行经费初预算为61.57万元，支出决算为61.32万元，完成年初预算的99.6%。决算数与年初预算数存在差异的主要原因是机关运行厉行节约，公车维修维护费用减少。</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十一、政府采购支出情况说明</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2019年度政府采购支出总额13.96万元，其中：政府采购货物支出13.96万元、政府采购工程支出0万元、政府采购服务支出0万元。授予中小企业合同金额0万元，占政府采购支出总额的0%，其中：授予小微企业合同金额0万元，占政府采购支出总额的0%。</w:t>
      </w:r>
    </w:p>
    <w:p>
      <w:pPr>
        <w:widowControl/>
        <w:wordWrap/>
        <w:adjustRightInd/>
        <w:snapToGrid/>
        <w:spacing w:line="590" w:lineRule="exact"/>
        <w:ind w:left="0" w:leftChars="0" w:right="0" w:firstLine="640" w:firstLineChars="200"/>
        <w:jc w:val="both"/>
        <w:textAlignment w:val="auto"/>
        <w:outlineLvl w:val="1"/>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十二、国有资产占用情况说明</w:t>
      </w:r>
    </w:p>
    <w:p>
      <w:pPr>
        <w:widowControl/>
        <w:wordWrap/>
        <w:adjustRightInd/>
        <w:snapToGrid/>
        <w:spacing w:line="59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2019年期末，湖滨区司法局共有车辆5辆，其中：一般执法执勤用车5辆；单位价值50万元以上通用设备0台（套），单位价值100万元以上专用设备0台（套）。</w:t>
      </w: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widowControl/>
        <w:jc w:val="left"/>
        <w:rPr>
          <w:rFonts w:hint="eastAsia" w:ascii="黑体" w:hAnsi="宋体" w:eastAsia="黑体" w:cs="宋体"/>
          <w:color w:val="auto"/>
          <w:kern w:val="0"/>
          <w:sz w:val="28"/>
          <w:szCs w:val="28"/>
          <w:highlight w:val="none"/>
          <w:lang w:val="en-US" w:eastAsia="zh-CN"/>
        </w:rPr>
      </w:pPr>
    </w:p>
    <w:p>
      <w:pPr>
        <w:jc w:val="center"/>
        <w:outlineLvl w:val="0"/>
        <w:rPr>
          <w:rFonts w:hint="eastAsia" w:ascii="黑体" w:hAnsi="黑体" w:eastAsia="黑体" w:cs="黑体"/>
          <w:color w:val="auto"/>
          <w:sz w:val="48"/>
          <w:szCs w:val="48"/>
          <w:highlight w:val="none"/>
        </w:rPr>
      </w:pPr>
    </w:p>
    <w:p>
      <w:pPr>
        <w:jc w:val="center"/>
        <w:outlineLvl w:val="0"/>
        <w:rPr>
          <w:rFonts w:hint="eastAsia" w:ascii="黑体" w:hAnsi="黑体" w:eastAsia="黑体" w:cs="黑体"/>
          <w:color w:val="auto"/>
          <w:sz w:val="48"/>
          <w:szCs w:val="48"/>
          <w:highlight w:val="none"/>
        </w:rPr>
      </w:pPr>
    </w:p>
    <w:p>
      <w:pPr>
        <w:jc w:val="center"/>
        <w:outlineLvl w:val="0"/>
        <w:rPr>
          <w:rFonts w:hint="eastAsia" w:ascii="黑体" w:hAnsi="黑体" w:eastAsia="黑体" w:cs="黑体"/>
          <w:color w:val="auto"/>
          <w:sz w:val="48"/>
          <w:szCs w:val="48"/>
          <w:highlight w:val="none"/>
        </w:rPr>
      </w:pPr>
    </w:p>
    <w:p>
      <w:pPr>
        <w:jc w:val="center"/>
        <w:outlineLvl w:val="0"/>
        <w:rPr>
          <w:rFonts w:hint="eastAsia" w:ascii="黑体" w:hAnsi="黑体" w:eastAsia="黑体" w:cs="黑体"/>
          <w:color w:val="auto"/>
          <w:sz w:val="48"/>
          <w:szCs w:val="48"/>
          <w:highlight w:val="none"/>
        </w:rPr>
      </w:pPr>
    </w:p>
    <w:p>
      <w:pPr>
        <w:jc w:val="center"/>
        <w:outlineLvl w:val="0"/>
        <w:rPr>
          <w:rFonts w:hint="eastAsia" w:ascii="黑体" w:hAnsi="黑体" w:eastAsia="黑体" w:cs="黑体"/>
          <w:color w:val="auto"/>
          <w:sz w:val="48"/>
          <w:szCs w:val="48"/>
          <w:highlight w:val="none"/>
        </w:rPr>
      </w:pPr>
    </w:p>
    <w:p>
      <w:pPr>
        <w:jc w:val="center"/>
        <w:outlineLvl w:val="0"/>
        <w:rPr>
          <w:rFonts w:hint="eastAsia" w:ascii="黑体" w:hAnsi="黑体" w:eastAsia="黑体" w:cs="黑体"/>
          <w:color w:val="auto"/>
          <w:sz w:val="48"/>
          <w:szCs w:val="48"/>
          <w:highlight w:val="none"/>
        </w:rPr>
      </w:pPr>
      <w:r>
        <w:rPr>
          <w:rFonts w:hint="eastAsia" w:ascii="黑体" w:hAnsi="黑体" w:eastAsia="黑体" w:cs="黑体"/>
          <w:color w:val="auto"/>
          <w:sz w:val="48"/>
          <w:szCs w:val="48"/>
          <w:highlight w:val="none"/>
        </w:rPr>
        <w:t>第</w:t>
      </w:r>
      <w:r>
        <w:rPr>
          <w:rFonts w:hint="eastAsia" w:ascii="黑体" w:hAnsi="黑体" w:eastAsia="黑体" w:cs="黑体"/>
          <w:color w:val="auto"/>
          <w:sz w:val="48"/>
          <w:szCs w:val="48"/>
          <w:highlight w:val="none"/>
          <w:lang w:eastAsia="zh-CN"/>
        </w:rPr>
        <w:t>四</w:t>
      </w:r>
      <w:r>
        <w:rPr>
          <w:rFonts w:hint="eastAsia" w:ascii="黑体" w:hAnsi="黑体" w:eastAsia="黑体" w:cs="黑体"/>
          <w:color w:val="auto"/>
          <w:sz w:val="48"/>
          <w:szCs w:val="48"/>
          <w:highlight w:val="none"/>
        </w:rPr>
        <w:t>部分</w:t>
      </w:r>
      <w:r>
        <w:rPr>
          <w:rFonts w:hint="eastAsia" w:ascii="黑体" w:hAnsi="黑体" w:eastAsia="黑体" w:cs="黑体"/>
          <w:color w:val="auto"/>
          <w:sz w:val="48"/>
          <w:szCs w:val="48"/>
          <w:highlight w:val="none"/>
          <w:lang w:val="en-US" w:eastAsia="zh-CN"/>
        </w:rPr>
        <w:t xml:space="preserve">  </w:t>
      </w:r>
      <w:r>
        <w:rPr>
          <w:rFonts w:hint="eastAsia" w:ascii="黑体" w:hAnsi="黑体" w:eastAsia="黑体" w:cs="黑体"/>
          <w:color w:val="auto"/>
          <w:sz w:val="48"/>
          <w:szCs w:val="48"/>
          <w:highlight w:val="none"/>
        </w:rPr>
        <w:t>名词解释</w:t>
      </w:r>
    </w:p>
    <w:p>
      <w:pPr>
        <w:jc w:val="center"/>
        <w:outlineLvl w:val="9"/>
        <w:rPr>
          <w:rFonts w:hint="eastAsia" w:ascii="黑体" w:hAnsi="黑体" w:eastAsia="黑体" w:cs="黑体"/>
          <w:color w:val="auto"/>
          <w:sz w:val="48"/>
          <w:szCs w:val="48"/>
          <w:highlight w:val="none"/>
        </w:rPr>
      </w:pPr>
    </w:p>
    <w:p>
      <w:pPr>
        <w:jc w:val="center"/>
        <w:outlineLvl w:val="0"/>
        <w:sectPr>
          <w:pgSz w:w="11906" w:h="16838"/>
          <w:pgMar w:top="1440" w:right="1531" w:bottom="1440" w:left="1587" w:header="850" w:footer="992" w:gutter="0"/>
          <w:pgNumType w:fmt="numberInDash"/>
          <w:cols w:space="720" w:num="1"/>
          <w:rtlGutter w:val="0"/>
          <w:docGrid w:type="lines" w:linePitch="317"/>
        </w:sectPr>
      </w:pP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一、财政拨款收入：</w:t>
      </w:r>
      <w:r>
        <w:rPr>
          <w:rFonts w:hint="eastAsia" w:ascii="仿宋_GB2312" w:hAnsi="仿宋_GB2312" w:eastAsia="仿宋_GB2312" w:cs="仿宋_GB2312"/>
          <w:color w:val="auto"/>
          <w:sz w:val="32"/>
          <w:szCs w:val="32"/>
          <w:highlight w:val="none"/>
          <w:lang w:val="en-US" w:eastAsia="zh-CN"/>
        </w:rPr>
        <w:t>单位从同级政府财政部门取得的财政预算资金。</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二、事业收入：事业单位开展专业业务活动及其辅助活动取得的收入。</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三、上级补助收入：事业单位从主管部门和上级单位取得的非财政补助收入。</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四、附属单位上缴收入：事业单位取得附属独立核算单位根据有关规定上缴的收入。</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五、经营收入：事业单位在专业业务活动及其辅助活动之外开展非独立核算经营活动取得的收入。</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六、其他收入：单位取得的除“财政拨款收入”、“事业收入”、“上级补助收入”、“附属单位上缴收入”、“经营收入”以外的各项收入。</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七、用事业基金弥补收支差额：事业单位在当年收入不足以安排当年支出的情况下，使用以前年度积累的事业基金（事业单位当年收支相抵后按国家规定提取、用于弥补以后年度收支差额的基金）弥补当年收支缺口的资金。</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八、基本支出：为保障机构正常运转、完成日常工作任务而发生的人员支出和公用支出。</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九、项目支出：基本支出之外为完成特定行政任务和事业发展目标所发生的支出。</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三公”经费：纳入同级财政预决算管理“三公”经费，指部门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及租用费、燃料费、维修费、过路过桥费、保险费、安全奖励费用等支出；公务接待费反映单位按规定开支的各类公务接待（含外宾接待）支出。</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一、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十二、工资福利支出：单位支付给在职职工和编制外长期聘用人员的各类劳动报酬，以及为上述人员缴纳的各项社会保险费等。</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十三、商品和服务支出：单位购买商品和服务的支出。</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十四、对个人和家庭的补助支出：单位用于对个人和家庭的补助支出。</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十五、年末结转：本年度或以前年度预算安排，已执行但尚未完成或因客观条件发生变化无法按原计划实施，需延迟到以后年度按有关规定继续使用的资金。</w:t>
      </w:r>
    </w:p>
    <w:p>
      <w:pPr>
        <w:widowControl/>
        <w:wordWrap/>
        <w:adjustRightInd/>
        <w:snapToGrid/>
        <w:spacing w:line="590" w:lineRule="exact"/>
        <w:ind w:left="0" w:leftChars="0" w:right="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十六、年末结余：本年度或以前年度预算安排，已执行完毕或因客观条件发生变化无法按原预算安排实施，不需要再使用或无法按原预算安排继续使用的资金</w:t>
      </w:r>
    </w:p>
    <w:p/>
    <w:sectPr>
      <w:pgSz w:w="11906" w:h="16838"/>
      <w:pgMar w:top="1928" w:right="1474" w:bottom="1701" w:left="1588" w:header="851" w:footer="992" w:gutter="0"/>
      <w:pgNumType w:fmt="numberInDash"/>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auto"/>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Times New Roman" w:hAnsi="Times New Roman" w:eastAsia="宋体" w:cs="Times New Roman"/>
        <w:kern w:val="2"/>
        <w:sz w:val="18"/>
        <w:szCs w:val="18"/>
        <w:lang w:val="en-US" w:eastAsia="zh-CN" w:bidi="ar-SA"/>
      </w:rPr>
      <w:pict>
        <v:rect id="文本框 1" o:spid="_x0000_s1026" style="position:absolute;left:0;margin-top:0pt;height:144pt;width:144pt;mso-position-horizontal:center;mso-position-horizontal-relative:margin;mso-wrap-style:none;rotation:0f;z-index:251659264;"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- 3 -</w:t>
                </w:r>
                <w:r>
                  <w:rPr>
                    <w:rFonts w:hint="eastAsia"/>
                    <w:sz w:val="18"/>
                    <w:lang w:eastAsia="zh-CN"/>
                  </w:rPr>
                  <w:fldChar w:fldCharType="end"/>
                </w:r>
              </w:p>
            </w:txbxContent>
          </v:textbox>
        </v:rect>
      </w:pict>
    </w:r>
    <w:r>
      <w:rPr>
        <w:rFonts w:ascii="Times New Roman" w:hAnsi="Times New Roman" w:eastAsia="宋体" w:cs="Times New Roman"/>
        <w:kern w:val="2"/>
        <w:sz w:val="18"/>
        <w:szCs w:val="18"/>
        <w:lang w:val="en-US" w:eastAsia="zh-CN" w:bidi="ar-SA"/>
      </w:rPr>
      <w:pict>
        <v:rect id="文本框 2"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rPr>
                    <w:rFonts w:hint="eastAsia"/>
                    <w:lang w:eastAsia="zh-CN"/>
                  </w:rPr>
                </w:pP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Times New Roman" w:hAnsi="Times New Roman" w:eastAsia="宋体" w:cs="Times New Roman"/>
        <w:kern w:val="2"/>
        <w:sz w:val="18"/>
        <w:szCs w:val="18"/>
        <w:lang w:val="en-US" w:eastAsia="zh-CN" w:bidi="ar-SA"/>
      </w:rPr>
      <w:pict>
        <v:rect id="文本框 3" o:spid="_x0000_s1027" style="position:absolute;left:0;margin-top:0pt;height:144pt;width:144pt;mso-position-horizontal:center;mso-position-horizontal-relative:margin;mso-wrap-style:none;rotation:0f;z-index:251660288;"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- 2 -</w:t>
                </w:r>
                <w:r>
                  <w:rPr>
                    <w:rFonts w:hint="eastAsia"/>
                    <w:sz w:val="18"/>
                    <w:lang w:eastAsia="zh-CN"/>
                  </w:rP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
    <w:nsid w:val="00000005"/>
    <w:multiLevelType w:val="singleLevel"/>
    <w:tmpl w:val="00000005"/>
    <w:lvl w:ilvl="0" w:tentative="1">
      <w:start w:val="1"/>
      <w:numFmt w:val="chineseCounting"/>
      <w:suff w:val="nothing"/>
      <w:lvlText w:val="%1、"/>
      <w:lvlJc w:val="left"/>
    </w:lvl>
  </w:abstractNum>
  <w:num w:numId="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tyle>
  <w:style w:type="paragraph" w:styleId="2">
    <w:name w:val="annotation text"/>
    <w:basedOn w:val="1"/>
    <w:pPr>
      <w:jc w:val="left"/>
    </w:pPr>
  </w:style>
  <w:style w:type="paragraph" w:styleId="3">
    <w:name w:val="footer"/>
    <w:basedOn w:val="1"/>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2020-09-16T09:29:00Z</dcterms:created>
  <dc:creator>Administrator</dc:creator>
  <dcterms:modified xsi:type="dcterms:W3CDTF">2021-06-09T08:04:36Z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