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240" w:lineRule="auto"/>
        <w:jc w:val="center"/>
        <w:textAlignment w:val="baseline"/>
        <w:rPr>
          <w:rStyle w:val="7"/>
          <w:rFonts w:ascii="宋体" w:hAnsi="宋体" w:eastAsia="宋体"/>
          <w:b w:val="0"/>
          <w:i w:val="0"/>
          <w:caps w:val="0"/>
          <w:spacing w:val="0"/>
          <w:w w:val="100"/>
          <w:kern w:val="2"/>
          <w:sz w:val="44"/>
          <w:szCs w:val="44"/>
          <w:lang w:val="en-US" w:eastAsia="zh-CN" w:bidi="ar-SA"/>
        </w:rPr>
      </w:pPr>
      <w:r>
        <w:rPr>
          <w:rStyle w:val="7"/>
          <w:rFonts w:ascii="宋体" w:hAnsi="宋体" w:eastAsia="宋体"/>
          <w:b w:val="0"/>
          <w:i w:val="0"/>
          <w:caps w:val="0"/>
          <w:spacing w:val="0"/>
          <w:w w:val="100"/>
          <w:kern w:val="2"/>
          <w:sz w:val="44"/>
          <w:szCs w:val="44"/>
          <w:lang w:val="en-US" w:eastAsia="zh-CN" w:bidi="ar-SA"/>
        </w:rPr>
        <w:t>湖滨区工业园区办公室预算公开说明</w:t>
      </w:r>
    </w:p>
    <w:p>
      <w:pPr>
        <w:snapToGrid/>
        <w:spacing w:before="0" w:beforeAutospacing="0" w:after="0" w:afterAutospacing="0" w:line="240" w:lineRule="auto"/>
        <w:jc w:val="left"/>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目录</w:t>
      </w:r>
    </w:p>
    <w:p>
      <w:pPr>
        <w:snapToGrid/>
        <w:spacing w:before="0" w:beforeAutospacing="0" w:after="0" w:afterAutospacing="0" w:line="240" w:lineRule="auto"/>
        <w:ind w:firstLine="643" w:firstLineChars="200"/>
        <w:jc w:val="both"/>
        <w:textAlignment w:val="baseline"/>
        <w:rPr>
          <w:rStyle w:val="7"/>
          <w:rFonts w:ascii="仿宋" w:hAnsi="仿宋" w:eastAsia="仿宋" w:cs="仿宋"/>
          <w:b/>
          <w:bCs/>
          <w:i w:val="0"/>
          <w:caps w:val="0"/>
          <w:spacing w:val="0"/>
          <w:w w:val="100"/>
          <w:kern w:val="2"/>
          <w:sz w:val="32"/>
          <w:szCs w:val="32"/>
          <w:lang w:val="en-US" w:eastAsia="zh-CN" w:bidi="ar-SA"/>
        </w:rPr>
      </w:pPr>
      <w:r>
        <w:rPr>
          <w:rStyle w:val="7"/>
          <w:rFonts w:ascii="仿宋" w:hAnsi="仿宋" w:eastAsia="仿宋" w:cs="仿宋"/>
          <w:b/>
          <w:bCs/>
          <w:i w:val="0"/>
          <w:caps w:val="0"/>
          <w:spacing w:val="0"/>
          <w:w w:val="100"/>
          <w:kern w:val="2"/>
          <w:sz w:val="32"/>
          <w:szCs w:val="32"/>
          <w:lang w:val="en-US" w:eastAsia="zh-CN" w:bidi="ar-SA"/>
        </w:rPr>
        <w:t>第一部分　单位概况</w:t>
      </w:r>
    </w:p>
    <w:p>
      <w:pPr>
        <w:numPr>
          <w:ilvl w:val="0"/>
          <w:numId w:val="1"/>
        </w:numPr>
        <w:snapToGrid/>
        <w:spacing w:before="0" w:beforeAutospacing="0" w:after="0" w:afterAutospacing="0" w:line="240" w:lineRule="auto"/>
        <w:ind w:left="0" w:leftChars="0" w:firstLineChars="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部门预算单位构成</w:t>
      </w:r>
    </w:p>
    <w:p>
      <w:pPr>
        <w:numPr>
          <w:ilvl w:val="0"/>
          <w:numId w:val="1"/>
        </w:numPr>
        <w:snapToGrid/>
        <w:spacing w:before="0" w:beforeAutospacing="0" w:after="0" w:afterAutospacing="0" w:line="240" w:lineRule="auto"/>
        <w:ind w:left="0" w:leftChars="0" w:firstLineChars="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机构设置情况</w:t>
      </w:r>
    </w:p>
    <w:p>
      <w:pPr>
        <w:numPr>
          <w:ilvl w:val="0"/>
          <w:numId w:val="1"/>
        </w:numPr>
        <w:snapToGrid/>
        <w:spacing w:before="0" w:beforeAutospacing="0" w:after="0" w:afterAutospacing="0" w:line="240" w:lineRule="auto"/>
        <w:ind w:left="0" w:leftChars="0" w:firstLineChars="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主要职责</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w:t>
      </w:r>
      <w:r>
        <w:rPr>
          <w:rStyle w:val="7"/>
          <w:rFonts w:ascii="仿宋" w:hAnsi="仿宋" w:eastAsia="仿宋" w:cs="仿宋"/>
          <w:b/>
          <w:bCs/>
          <w:i w:val="0"/>
          <w:caps w:val="0"/>
          <w:spacing w:val="0"/>
          <w:w w:val="100"/>
          <w:kern w:val="2"/>
          <w:sz w:val="32"/>
          <w:szCs w:val="32"/>
          <w:lang w:val="en-US" w:eastAsia="zh-CN" w:bidi="ar-SA"/>
        </w:rPr>
        <w:t>第二部分　2021年度部门预算情况说明</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w:t>
      </w:r>
      <w:r>
        <w:rPr>
          <w:rStyle w:val="7"/>
          <w:rFonts w:ascii="仿宋" w:hAnsi="仿宋" w:eastAsia="仿宋" w:cs="仿宋"/>
          <w:b/>
          <w:bCs/>
          <w:i w:val="0"/>
          <w:caps w:val="0"/>
          <w:spacing w:val="0"/>
          <w:w w:val="100"/>
          <w:kern w:val="2"/>
          <w:sz w:val="32"/>
          <w:szCs w:val="32"/>
          <w:lang w:val="en-US" w:eastAsia="zh-CN" w:bidi="ar-SA"/>
        </w:rPr>
        <w:t>第三部分　名词解释</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附件：三门峡市湖滨区工业园区办公室2021年度部门预算表</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一、部门收支总体情况表</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二、部门收入总体情况表</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三、部门支出总体情况表</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四、财政拨款收支总体情况表</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五、一般公共预算支出情况表</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六、支出经济分类汇总表</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七、一般公共预算“三公”经费支出情况表</w:t>
      </w:r>
    </w:p>
    <w:p>
      <w:pPr>
        <w:snapToGrid/>
        <w:spacing w:before="0" w:beforeAutospacing="0" w:after="0" w:afterAutospacing="0" w:line="240" w:lineRule="auto"/>
        <w:ind w:firstLine="64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八、政府性基金预算支出情况表</w:t>
      </w:r>
    </w:p>
    <w:p>
      <w:pPr>
        <w:snapToGrid/>
        <w:spacing w:before="0" w:beforeAutospacing="0" w:after="0" w:afterAutospacing="0" w:line="240" w:lineRule="auto"/>
        <w:ind w:firstLine="64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九、国有资本经营收支预算表</w:t>
      </w:r>
    </w:p>
    <w:p>
      <w:pPr>
        <w:snapToGrid/>
        <w:spacing w:before="0" w:beforeAutospacing="0" w:after="0" w:afterAutospacing="0" w:line="240" w:lineRule="auto"/>
        <w:ind w:firstLine="64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十、整体绩效表</w:t>
      </w:r>
    </w:p>
    <w:p>
      <w:pPr>
        <w:snapToGrid/>
        <w:spacing w:before="0" w:beforeAutospacing="0" w:after="0" w:afterAutospacing="0" w:line="240" w:lineRule="auto"/>
        <w:ind w:firstLine="640"/>
        <w:jc w:val="both"/>
        <w:textAlignment w:val="baseline"/>
        <w:rPr>
          <w:rStyle w:val="7"/>
          <w:rFonts w:ascii="仿宋" w:hAnsi="仿宋" w:eastAsia="仿宋"/>
          <w:b w:val="0"/>
          <w:i w:val="0"/>
          <w:caps w:val="0"/>
          <w:spacing w:val="0"/>
          <w:w w:val="100"/>
          <w:kern w:val="2"/>
          <w:sz w:val="32"/>
          <w:szCs w:val="32"/>
          <w:lang w:val="en-US" w:eastAsia="zh-CN" w:bidi="ar-SA"/>
        </w:rPr>
        <w:sectPr>
          <w:headerReference r:id="rId5" w:type="first"/>
          <w:footerReference r:id="rId8" w:type="first"/>
          <w:headerReference r:id="rId3" w:type="default"/>
          <w:footerReference r:id="rId6" w:type="default"/>
          <w:headerReference r:id="rId4" w:type="even"/>
          <w:footerReference r:id="rId7" w:type="even"/>
          <w:pgSz w:w="11906" w:h="16838"/>
          <w:pgMar w:top="1588" w:right="1361" w:bottom="1418" w:left="1361" w:header="851" w:footer="992" w:gutter="0"/>
          <w:lnNumType w:countBy="0"/>
          <w:cols w:space="425" w:num="1"/>
          <w:vAlign w:val="top"/>
          <w:docGrid w:type="lines" w:linePitch="312" w:charSpace="0"/>
        </w:sectPr>
      </w:pPr>
      <w:r>
        <w:rPr>
          <w:rStyle w:val="7"/>
          <w:rFonts w:ascii="仿宋" w:hAnsi="仿宋" w:eastAsia="仿宋"/>
          <w:b w:val="0"/>
          <w:i w:val="0"/>
          <w:caps w:val="0"/>
          <w:spacing w:val="0"/>
          <w:w w:val="100"/>
          <w:kern w:val="2"/>
          <w:sz w:val="32"/>
          <w:szCs w:val="32"/>
          <w:lang w:val="en-US" w:eastAsia="zh-CN" w:bidi="ar-SA"/>
        </w:rPr>
        <w:t>十一、项目绩效目标汇总表</w:t>
      </w:r>
    </w:p>
    <w:p>
      <w:pPr>
        <w:snapToGrid/>
        <w:spacing w:before="0" w:beforeAutospacing="0" w:after="0" w:afterAutospacing="0" w:line="240" w:lineRule="auto"/>
        <w:ind w:firstLine="640"/>
        <w:jc w:val="center"/>
        <w:textAlignment w:val="baseline"/>
        <w:rPr>
          <w:rStyle w:val="7"/>
          <w:rFonts w:ascii="仿宋" w:hAnsi="仿宋" w:eastAsia="仿宋" w:cs="仿宋"/>
          <w:b/>
          <w:bCs/>
          <w:i w:val="0"/>
          <w:caps w:val="0"/>
          <w:spacing w:val="0"/>
          <w:w w:val="100"/>
          <w:kern w:val="2"/>
          <w:sz w:val="32"/>
          <w:szCs w:val="32"/>
          <w:lang w:val="en-US" w:eastAsia="zh-CN" w:bidi="ar-SA"/>
        </w:rPr>
      </w:pPr>
      <w:r>
        <w:rPr>
          <w:rStyle w:val="7"/>
          <w:rFonts w:ascii="仿宋" w:hAnsi="仿宋" w:eastAsia="仿宋" w:cs="仿宋"/>
          <w:b/>
          <w:bCs/>
          <w:i w:val="0"/>
          <w:caps w:val="0"/>
          <w:spacing w:val="0"/>
          <w:w w:val="100"/>
          <w:kern w:val="2"/>
          <w:sz w:val="32"/>
          <w:szCs w:val="32"/>
          <w:lang w:val="en-US" w:eastAsia="zh-CN" w:bidi="ar-SA"/>
        </w:rPr>
        <w:t>第一部分</w:t>
      </w:r>
    </w:p>
    <w:p>
      <w:pPr>
        <w:snapToGrid/>
        <w:spacing w:before="0" w:beforeAutospacing="0" w:after="0" w:afterAutospacing="0" w:line="240" w:lineRule="auto"/>
        <w:jc w:val="center"/>
        <w:textAlignment w:val="baseline"/>
        <w:rPr>
          <w:rStyle w:val="7"/>
          <w:rFonts w:ascii="仿宋" w:hAnsi="仿宋" w:eastAsia="仿宋" w:cs="仿宋"/>
          <w:b/>
          <w:bCs/>
          <w:i w:val="0"/>
          <w:caps w:val="0"/>
          <w:spacing w:val="0"/>
          <w:w w:val="100"/>
          <w:kern w:val="2"/>
          <w:sz w:val="32"/>
          <w:szCs w:val="32"/>
          <w:lang w:val="en-US" w:eastAsia="zh-CN" w:bidi="ar-SA"/>
        </w:rPr>
      </w:pPr>
      <w:r>
        <w:rPr>
          <w:rStyle w:val="7"/>
          <w:rFonts w:ascii="仿宋" w:hAnsi="仿宋" w:eastAsia="仿宋" w:cs="仿宋"/>
          <w:b/>
          <w:bCs/>
          <w:i w:val="0"/>
          <w:caps w:val="0"/>
          <w:spacing w:val="0"/>
          <w:w w:val="100"/>
          <w:kern w:val="2"/>
          <w:sz w:val="32"/>
          <w:szCs w:val="32"/>
          <w:lang w:val="en-US" w:eastAsia="zh-CN" w:bidi="ar-SA"/>
        </w:rPr>
        <w:t>单位概况</w:t>
      </w:r>
    </w:p>
    <w:p>
      <w:pPr>
        <w:numPr>
          <w:ilvl w:val="0"/>
          <w:numId w:val="2"/>
        </w:numPr>
        <w:snapToGrid/>
        <w:spacing w:before="0" w:beforeAutospacing="0" w:after="0" w:afterAutospacing="0" w:line="240" w:lineRule="auto"/>
        <w:ind w:left="0" w:leftChars="0" w:firstLineChars="0"/>
        <w:jc w:val="both"/>
        <w:textAlignment w:val="baseline"/>
        <w:rPr>
          <w:rStyle w:val="7"/>
          <w:rFonts w:ascii="仿宋" w:hAnsi="仿宋" w:eastAsia="仿宋" w:cs="仿宋"/>
          <w:b/>
          <w:bCs/>
          <w:i w:val="0"/>
          <w:caps w:val="0"/>
          <w:spacing w:val="0"/>
          <w:w w:val="100"/>
          <w:kern w:val="2"/>
          <w:sz w:val="32"/>
          <w:szCs w:val="32"/>
          <w:lang w:val="en-US" w:eastAsia="zh-CN" w:bidi="ar-SA"/>
        </w:rPr>
      </w:pPr>
      <w:r>
        <w:rPr>
          <w:rStyle w:val="7"/>
          <w:rFonts w:ascii="仿宋" w:hAnsi="仿宋" w:eastAsia="仿宋" w:cs="仿宋"/>
          <w:b/>
          <w:bCs/>
          <w:i w:val="0"/>
          <w:caps w:val="0"/>
          <w:spacing w:val="0"/>
          <w:w w:val="100"/>
          <w:kern w:val="2"/>
          <w:sz w:val="32"/>
          <w:szCs w:val="32"/>
          <w:lang w:val="en-US" w:eastAsia="zh-CN" w:bidi="ar-SA"/>
        </w:rPr>
        <w:t>部门预算构成</w:t>
      </w:r>
    </w:p>
    <w:p>
      <w:pPr>
        <w:snapToGrid/>
        <w:spacing w:before="0" w:beforeAutospacing="0" w:after="0" w:afterAutospacing="0" w:line="240" w:lineRule="auto"/>
        <w:ind w:firstLine="643" w:firstLineChars="200"/>
        <w:jc w:val="both"/>
        <w:textAlignment w:val="baseline"/>
        <w:rPr>
          <w:rStyle w:val="7"/>
          <w:rFonts w:ascii="仿宋" w:hAnsi="仿宋" w:eastAsia="仿宋"/>
          <w:b/>
          <w:bCs/>
          <w:i w:val="0"/>
          <w:caps w:val="0"/>
          <w:spacing w:val="0"/>
          <w:w w:val="100"/>
          <w:kern w:val="2"/>
          <w:sz w:val="32"/>
          <w:szCs w:val="32"/>
          <w:lang w:val="en-US" w:eastAsia="zh-CN" w:bidi="ar-SA"/>
        </w:rPr>
      </w:pPr>
      <w:r>
        <w:rPr>
          <w:rStyle w:val="7"/>
          <w:rFonts w:ascii="仿宋" w:hAnsi="仿宋" w:eastAsia="仿宋"/>
          <w:b/>
          <w:bCs/>
          <w:i w:val="0"/>
          <w:caps w:val="0"/>
          <w:spacing w:val="0"/>
          <w:w w:val="100"/>
          <w:kern w:val="2"/>
          <w:sz w:val="32"/>
          <w:szCs w:val="32"/>
          <w:lang w:val="en-US" w:eastAsia="zh-CN" w:bidi="ar-SA"/>
        </w:rPr>
        <w:t>此次预算公开内容包括本级机关预算和未独立核算所属二级部门预算在内的汇总预算。</w:t>
      </w:r>
    </w:p>
    <w:p>
      <w:pPr>
        <w:numPr>
          <w:ilvl w:val="0"/>
          <w:numId w:val="2"/>
        </w:numPr>
        <w:snapToGrid/>
        <w:spacing w:before="0" w:beforeAutospacing="0" w:after="0" w:afterAutospacing="0" w:line="240" w:lineRule="auto"/>
        <w:ind w:left="0" w:leftChars="0" w:firstLineChars="0"/>
        <w:jc w:val="both"/>
        <w:textAlignment w:val="baseline"/>
        <w:rPr>
          <w:rStyle w:val="7"/>
          <w:rFonts w:ascii="仿宋" w:hAnsi="仿宋" w:eastAsia="仿宋" w:cs="仿宋"/>
          <w:b/>
          <w:bCs/>
          <w:i w:val="0"/>
          <w:caps w:val="0"/>
          <w:spacing w:val="0"/>
          <w:w w:val="100"/>
          <w:kern w:val="2"/>
          <w:sz w:val="32"/>
          <w:szCs w:val="32"/>
          <w:lang w:val="en-US" w:eastAsia="zh-CN" w:bidi="ar-SA"/>
        </w:rPr>
      </w:pPr>
      <w:r>
        <w:rPr>
          <w:rStyle w:val="7"/>
          <w:rFonts w:ascii="仿宋" w:hAnsi="仿宋" w:eastAsia="仿宋" w:cs="仿宋"/>
          <w:b/>
          <w:bCs/>
          <w:i w:val="0"/>
          <w:caps w:val="0"/>
          <w:spacing w:val="0"/>
          <w:w w:val="100"/>
          <w:kern w:val="2"/>
          <w:sz w:val="32"/>
          <w:szCs w:val="32"/>
          <w:lang w:val="en-US" w:eastAsia="zh-CN" w:bidi="ar-SA"/>
        </w:rPr>
        <w:t>机构设置情况</w:t>
      </w:r>
      <w:r>
        <w:rPr>
          <w:rStyle w:val="7"/>
          <w:rFonts w:ascii="仿宋" w:hAnsi="仿宋" w:eastAsia="仿宋" w:cs="仿宋"/>
          <w:b/>
          <w:bCs/>
          <w:i w:val="0"/>
          <w:caps w:val="0"/>
          <w:spacing w:val="0"/>
          <w:w w:val="100"/>
          <w:kern w:val="2"/>
          <w:sz w:val="32"/>
          <w:szCs w:val="32"/>
          <w:lang w:val="en-US" w:eastAsia="zh-CN" w:bidi="ar-SA"/>
        </w:rPr>
        <w:tab/>
      </w:r>
      <w:r>
        <w:rPr>
          <w:rFonts w:ascii="仿宋" w:hAnsi="仿宋" w:eastAsia="仿宋" w:cs="仿宋"/>
          <w:b/>
          <w:i w:val="0"/>
          <w:caps w:val="0"/>
          <w:spacing w:val="0"/>
          <w:w w:val="100"/>
          <w:sz w:val="32"/>
        </w:rPr>
        <w:tab/>
      </w:r>
    </w:p>
    <w:p>
      <w:pPr>
        <w:snapToGrid/>
        <w:spacing w:before="0" w:beforeAutospacing="0" w:after="0" w:afterAutospacing="0" w:line="240" w:lineRule="auto"/>
        <w:ind w:firstLine="640" w:firstLineChars="20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湖滨工业园区办公室共有编制15人，其中：行政编制0人，事业编制15人；在职职工7人，退休人员3人。内设八个机构：党政办、纪工委、规划建设股、项目服务股、招商引资股、财税所、公共关系股、公共事务管理股。</w:t>
      </w:r>
    </w:p>
    <w:p>
      <w:pPr>
        <w:numPr>
          <w:ilvl w:val="0"/>
          <w:numId w:val="2"/>
        </w:numPr>
        <w:snapToGrid/>
        <w:spacing w:before="0" w:beforeAutospacing="0" w:after="0" w:afterAutospacing="0" w:line="240" w:lineRule="auto"/>
        <w:ind w:left="0" w:leftChars="0" w:firstLineChars="0"/>
        <w:jc w:val="both"/>
        <w:textAlignment w:val="baseline"/>
        <w:rPr>
          <w:rStyle w:val="7"/>
          <w:rFonts w:ascii="仿宋" w:hAnsi="仿宋" w:eastAsia="仿宋" w:cs="仿宋"/>
          <w:b/>
          <w:bCs/>
          <w:i w:val="0"/>
          <w:caps w:val="0"/>
          <w:spacing w:val="0"/>
          <w:w w:val="100"/>
          <w:kern w:val="2"/>
          <w:sz w:val="32"/>
          <w:szCs w:val="32"/>
          <w:lang w:val="en-US" w:eastAsia="zh-CN" w:bidi="ar-SA"/>
        </w:rPr>
      </w:pPr>
      <w:r>
        <w:rPr>
          <w:rStyle w:val="7"/>
          <w:rFonts w:ascii="仿宋" w:hAnsi="仿宋" w:eastAsia="仿宋" w:cs="仿宋"/>
          <w:b/>
          <w:bCs/>
          <w:i w:val="0"/>
          <w:caps w:val="0"/>
          <w:spacing w:val="0"/>
          <w:w w:val="100"/>
          <w:kern w:val="2"/>
          <w:sz w:val="32"/>
          <w:szCs w:val="32"/>
          <w:lang w:val="en-US" w:eastAsia="zh-CN" w:bidi="ar-SA"/>
        </w:rPr>
        <w:t>主要职责</w:t>
      </w:r>
    </w:p>
    <w:p>
      <w:pPr>
        <w:snapToGrid/>
        <w:spacing w:before="0" w:beforeAutospacing="0" w:after="0" w:afterAutospacing="0" w:line="240" w:lineRule="auto"/>
        <w:ind w:firstLine="640" w:firstLineChars="20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（一）规划职能。根据湖滨区总体规划和经济社会发展规划，负责组织编制工业园区的长、中、短期总体规划和控制性详细规划；对意向项目进行审核，并负责落地项目的选址、定点和规划设计方案的审查。</w:t>
      </w:r>
    </w:p>
    <w:p>
      <w:pPr>
        <w:snapToGrid/>
        <w:spacing w:before="0" w:beforeAutospacing="0" w:after="0" w:afterAutospacing="0" w:line="240" w:lineRule="auto"/>
        <w:ind w:firstLine="640" w:firstLineChars="20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（二）协调职能。负责协调湖滨区有关单位和派驻园区机构、分支机构的工作；与区相关部门协调解决企业之间、企业与占地村民之间、员工与厂方之间的各种纠纷。</w:t>
      </w:r>
    </w:p>
    <w:p>
      <w:pPr>
        <w:snapToGrid/>
        <w:spacing w:before="0" w:beforeAutospacing="0" w:after="0" w:afterAutospacing="0" w:line="240" w:lineRule="auto"/>
        <w:ind w:firstLine="640" w:firstLineChars="20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三）管理职能。贯彻执行有关法律、法规和区政府的有关决定、命令和政策；制定工业园区的行政管理规定；在法律法规和相关政策许可的范围内，园区办对工业园区土地统一管理、统一配置；对工业园内的企业和项目，协助办理相关土地手续；对工业园区内的各项基础设施和公共设施进行统一建设统一管理。</w:t>
      </w:r>
    </w:p>
    <w:p>
      <w:pPr>
        <w:snapToGrid/>
        <w:spacing w:before="0" w:beforeAutospacing="0" w:after="0" w:afterAutospacing="0" w:line="240" w:lineRule="auto"/>
        <w:ind w:firstLine="640" w:firstLineChars="20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四）服务职能。代办工业园区内各类项目的有关证照；配合区有关部门兑现服务承诺，定期开展各类培训活动；协助企业办理人才引进、职称评定；提供法律法规、产业政策等咨询服务，提供高校、科研院所的技术支持。</w:t>
      </w:r>
    </w:p>
    <w:p>
      <w:pPr>
        <w:snapToGrid/>
        <w:spacing w:before="0" w:beforeAutospacing="0" w:after="0" w:afterAutospacing="0" w:line="240" w:lineRule="auto"/>
        <w:ind w:firstLine="640" w:firstLineChars="20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五）招商职能。贯彻执行有关招商引资的方针、政策、法规；组织实施各项招商引资的优惠政策、措施和管理办法，并通过各种媒体向外宣传和推介工业园区优势，吸引外来投资；积极做好对外联络，获取外商投资信息，配合做好全区对外招商活动；向外来投资者提供政策、业务咨询，合理引导外来投资投向。</w:t>
      </w:r>
    </w:p>
    <w:p>
      <w:pPr>
        <w:snapToGrid/>
        <w:spacing w:before="0" w:beforeAutospacing="0" w:after="0" w:afterAutospacing="0" w:line="240" w:lineRule="auto"/>
        <w:ind w:firstLine="640" w:firstLineChars="20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（六）完成区委、区政府交办的各项工作。</w:t>
      </w:r>
    </w:p>
    <w:p>
      <w:pPr>
        <w:snapToGrid/>
        <w:spacing w:before="0" w:beforeAutospacing="0" w:after="0" w:afterAutospacing="0" w:line="240" w:lineRule="auto"/>
        <w:ind w:left="0" w:leftChars="0"/>
        <w:jc w:val="center"/>
        <w:textAlignment w:val="baseline"/>
        <w:rPr>
          <w:rStyle w:val="7"/>
          <w:rFonts w:ascii="仿宋" w:hAnsi="仿宋" w:eastAsia="仿宋" w:cs="仿宋"/>
          <w:b/>
          <w:bCs/>
          <w:i w:val="0"/>
          <w:caps w:val="0"/>
          <w:spacing w:val="0"/>
          <w:w w:val="100"/>
          <w:kern w:val="2"/>
          <w:sz w:val="32"/>
          <w:szCs w:val="32"/>
          <w:lang w:val="en-US" w:eastAsia="zh-CN" w:bidi="ar-SA"/>
        </w:rPr>
      </w:pPr>
      <w:r>
        <w:rPr>
          <w:b w:val="0"/>
          <w:i w:val="0"/>
          <w:caps w:val="0"/>
          <w:spacing w:val="0"/>
          <w:w w:val="100"/>
          <w:sz w:val="20"/>
        </w:rPr>
        <w:br w:type="page"/>
      </w:r>
      <w:r>
        <w:rPr>
          <w:rStyle w:val="7"/>
          <w:rFonts w:ascii="仿宋" w:hAnsi="仿宋" w:eastAsia="仿宋" w:cs="仿宋"/>
          <w:b/>
          <w:bCs/>
          <w:i w:val="0"/>
          <w:caps w:val="0"/>
          <w:spacing w:val="0"/>
          <w:w w:val="100"/>
          <w:kern w:val="2"/>
          <w:sz w:val="32"/>
          <w:szCs w:val="32"/>
          <w:lang w:val="en-US" w:eastAsia="zh-CN" w:bidi="ar-SA"/>
        </w:rPr>
        <w:t>第二部分</w:t>
      </w:r>
    </w:p>
    <w:p>
      <w:pPr>
        <w:snapToGrid/>
        <w:spacing w:before="0" w:beforeAutospacing="0" w:after="0" w:afterAutospacing="0" w:line="240" w:lineRule="auto"/>
        <w:jc w:val="center"/>
        <w:textAlignment w:val="baseline"/>
        <w:rPr>
          <w:rStyle w:val="7"/>
          <w:rFonts w:ascii="仿宋" w:hAnsi="仿宋" w:eastAsia="仿宋" w:cs="仿宋"/>
          <w:b/>
          <w:bCs/>
          <w:i w:val="0"/>
          <w:caps w:val="0"/>
          <w:spacing w:val="0"/>
          <w:w w:val="100"/>
          <w:kern w:val="2"/>
          <w:sz w:val="32"/>
          <w:szCs w:val="32"/>
          <w:lang w:val="en-US" w:eastAsia="zh-CN" w:bidi="ar-SA"/>
        </w:rPr>
      </w:pPr>
      <w:r>
        <w:rPr>
          <w:rStyle w:val="7"/>
          <w:rFonts w:ascii="仿宋" w:hAnsi="仿宋" w:eastAsia="仿宋" w:cs="仿宋"/>
          <w:b/>
          <w:bCs/>
          <w:i w:val="0"/>
          <w:caps w:val="0"/>
          <w:spacing w:val="0"/>
          <w:w w:val="100"/>
          <w:kern w:val="2"/>
          <w:sz w:val="32"/>
          <w:szCs w:val="32"/>
          <w:lang w:val="en-US" w:eastAsia="zh-CN" w:bidi="ar-SA"/>
        </w:rPr>
        <w:t>2021年度部门预算情况说明</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一、收入支出预算总体情况说明</w:t>
      </w:r>
    </w:p>
    <w:p>
      <w:pPr>
        <w:snapToGrid/>
        <w:spacing w:before="0" w:beforeAutospacing="0" w:after="0" w:afterAutospacing="0" w:line="240" w:lineRule="auto"/>
        <w:ind w:firstLine="640" w:firstLineChars="20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湖滨区工业园区办公室2021年收入总</w:t>
      </w:r>
      <w:r>
        <w:rPr>
          <w:rStyle w:val="7"/>
          <w:rFonts w:ascii="仿宋" w:hAnsi="仿宋" w:eastAsia="仿宋"/>
          <w:b w:val="0"/>
          <w:i w:val="0"/>
          <w:caps w:val="0"/>
          <w:spacing w:val="0"/>
          <w:w w:val="100"/>
          <w:kern w:val="2"/>
          <w:sz w:val="32"/>
          <w:szCs w:val="32"/>
          <w:highlight w:val="none"/>
          <w:lang w:val="en-US" w:eastAsia="zh-CN" w:bidi="ar-SA"/>
        </w:rPr>
        <w:t>计69.25</w:t>
      </w:r>
      <w:r>
        <w:rPr>
          <w:rStyle w:val="7"/>
          <w:rFonts w:ascii="仿宋" w:hAnsi="仿宋" w:eastAsia="仿宋"/>
          <w:b w:val="0"/>
          <w:i w:val="0"/>
          <w:caps w:val="0"/>
          <w:spacing w:val="0"/>
          <w:w w:val="100"/>
          <w:kern w:val="2"/>
          <w:sz w:val="32"/>
          <w:szCs w:val="32"/>
          <w:lang w:val="en-US" w:eastAsia="zh-CN" w:bidi="ar-SA"/>
        </w:rPr>
        <w:t>万元，支出总计69.25万元，与2020年相比，收、支总计各减少32.32万元，下降31.82%</w:t>
      </w:r>
      <w:r>
        <w:rPr>
          <w:rStyle w:val="7"/>
          <w:rFonts w:ascii="仿宋" w:hAnsi="仿宋" w:eastAsia="仿宋" w:cstheme="minorBidi"/>
          <w:b w:val="0"/>
          <w:i w:val="0"/>
          <w:caps w:val="0"/>
          <w:spacing w:val="0"/>
          <w:w w:val="100"/>
          <w:kern w:val="2"/>
          <w:sz w:val="32"/>
          <w:szCs w:val="32"/>
          <w:lang w:val="en-US" w:eastAsia="zh-CN" w:bidi="ar-SA"/>
        </w:rPr>
        <w:t>。主要原因</w:t>
      </w:r>
      <w:r>
        <w:rPr>
          <w:rStyle w:val="7"/>
          <w:rFonts w:hint="eastAsia" w:ascii="仿宋" w:hAnsi="仿宋" w:eastAsia="仿宋" w:cstheme="minorBidi"/>
          <w:b w:val="0"/>
          <w:i w:val="0"/>
          <w:caps w:val="0"/>
          <w:spacing w:val="0"/>
          <w:w w:val="100"/>
          <w:kern w:val="2"/>
          <w:sz w:val="32"/>
          <w:szCs w:val="32"/>
          <w:lang w:val="en-US" w:eastAsia="zh-CN" w:bidi="ar-SA"/>
        </w:rPr>
        <w:t>：较上年业务减少</w:t>
      </w:r>
      <w:r>
        <w:rPr>
          <w:rStyle w:val="7"/>
          <w:rFonts w:ascii="仿宋" w:hAnsi="仿宋" w:eastAsia="仿宋"/>
          <w:b w:val="0"/>
          <w:i w:val="0"/>
          <w:caps w:val="0"/>
          <w:spacing w:val="0"/>
          <w:w w:val="100"/>
          <w:kern w:val="2"/>
          <w:sz w:val="32"/>
          <w:szCs w:val="32"/>
          <w:lang w:val="en-US" w:eastAsia="zh-CN" w:bidi="ar-SA"/>
        </w:rPr>
        <w:t>。</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二、收入预算总体情况说明</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w:t>
      </w:r>
      <w:r>
        <w:rPr>
          <w:rStyle w:val="7"/>
          <w:rFonts w:ascii="仿宋" w:hAnsi="仿宋" w:eastAsia="仿宋"/>
          <w:b w:val="0"/>
          <w:i w:val="0"/>
          <w:caps w:val="0"/>
          <w:color w:val="000000"/>
          <w:spacing w:val="0"/>
          <w:w w:val="100"/>
          <w:kern w:val="2"/>
          <w:sz w:val="32"/>
          <w:szCs w:val="32"/>
          <w:lang w:val="en-US" w:eastAsia="zh-CN" w:bidi="ar-SA"/>
        </w:rPr>
        <w:t>　</w:t>
      </w:r>
      <w:r>
        <w:rPr>
          <w:rStyle w:val="7"/>
          <w:rFonts w:ascii="仿宋" w:hAnsi="仿宋" w:eastAsia="仿宋"/>
          <w:b w:val="0"/>
          <w:i w:val="0"/>
          <w:caps w:val="0"/>
          <w:spacing w:val="0"/>
          <w:w w:val="100"/>
          <w:kern w:val="2"/>
          <w:sz w:val="32"/>
          <w:szCs w:val="32"/>
          <w:lang w:val="en-US" w:eastAsia="zh-CN" w:bidi="ar-SA"/>
        </w:rPr>
        <w:t>湖滨区工业园区办公室2021年收入合计69.25万元，全部为一般公共预算。</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三、支出预算总体情况说明</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w:t>
      </w:r>
      <w:r>
        <w:rPr>
          <w:rStyle w:val="7"/>
          <w:rFonts w:ascii="仿宋" w:hAnsi="仿宋" w:eastAsia="仿宋"/>
          <w:b w:val="0"/>
          <w:i w:val="0"/>
          <w:caps w:val="0"/>
          <w:color w:val="000000"/>
          <w:spacing w:val="0"/>
          <w:w w:val="100"/>
          <w:kern w:val="2"/>
          <w:sz w:val="32"/>
          <w:szCs w:val="32"/>
          <w:lang w:val="en-US" w:eastAsia="zh-CN" w:bidi="ar-SA"/>
        </w:rPr>
        <w:t>　</w:t>
      </w:r>
      <w:r>
        <w:rPr>
          <w:rStyle w:val="7"/>
          <w:rFonts w:ascii="仿宋" w:hAnsi="仿宋" w:eastAsia="仿宋"/>
          <w:b w:val="0"/>
          <w:i w:val="0"/>
          <w:caps w:val="0"/>
          <w:spacing w:val="0"/>
          <w:w w:val="100"/>
          <w:kern w:val="2"/>
          <w:sz w:val="32"/>
          <w:szCs w:val="32"/>
          <w:lang w:val="en-US" w:eastAsia="zh-CN" w:bidi="ar-SA"/>
        </w:rPr>
        <w:t>湖滨区工业园区办公室2021年支出合计69.25万元，其中：基本支出64.25万元，占92.78%；专项支出5万元，占7.22%。</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四、财政拨款收入支出预算总体情况说明</w:t>
      </w:r>
    </w:p>
    <w:p>
      <w:pPr>
        <w:snapToGrid/>
        <w:spacing w:before="0" w:beforeAutospacing="0" w:after="0" w:afterAutospacing="0" w:line="240" w:lineRule="auto"/>
        <w:jc w:val="both"/>
        <w:textAlignment w:val="baseline"/>
        <w:rPr>
          <w:rStyle w:val="7"/>
          <w:rFonts w:ascii="仿宋" w:hAnsi="仿宋" w:eastAsia="仿宋" w:cstheme="minorBidi"/>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湖滨区工业园区办公室2021年一般公共预算收支预算69.25万元。与2020年相比，一般公共预算收支预算减少32.32万元，下降31.82%，</w:t>
      </w:r>
      <w:r>
        <w:rPr>
          <w:rStyle w:val="7"/>
          <w:rFonts w:ascii="仿宋" w:hAnsi="仿宋" w:eastAsia="仿宋" w:cstheme="minorBidi"/>
          <w:b w:val="0"/>
          <w:i w:val="0"/>
          <w:caps w:val="0"/>
          <w:spacing w:val="0"/>
          <w:w w:val="100"/>
          <w:kern w:val="2"/>
          <w:sz w:val="32"/>
          <w:szCs w:val="32"/>
          <w:lang w:val="en-US" w:eastAsia="zh-CN" w:bidi="ar-SA"/>
        </w:rPr>
        <w:t>主要原因：</w:t>
      </w:r>
      <w:r>
        <w:rPr>
          <w:rStyle w:val="7"/>
          <w:rFonts w:hint="eastAsia" w:ascii="仿宋" w:hAnsi="仿宋" w:eastAsia="仿宋" w:cstheme="minorBidi"/>
          <w:b w:val="0"/>
          <w:i w:val="0"/>
          <w:caps w:val="0"/>
          <w:spacing w:val="0"/>
          <w:w w:val="100"/>
          <w:kern w:val="2"/>
          <w:sz w:val="32"/>
          <w:szCs w:val="32"/>
          <w:lang w:val="en-US" w:eastAsia="zh-CN" w:bidi="ar-SA"/>
        </w:rPr>
        <w:t>较上年业务减少</w:t>
      </w:r>
      <w:r>
        <w:rPr>
          <w:rStyle w:val="7"/>
          <w:rFonts w:ascii="仿宋" w:hAnsi="仿宋" w:eastAsia="仿宋" w:cstheme="minorBidi"/>
          <w:b w:val="0"/>
          <w:i w:val="0"/>
          <w:caps w:val="0"/>
          <w:spacing w:val="0"/>
          <w:w w:val="100"/>
          <w:kern w:val="2"/>
          <w:sz w:val="32"/>
          <w:szCs w:val="32"/>
          <w:lang w:val="en-US" w:eastAsia="zh-CN" w:bidi="ar-SA"/>
        </w:rPr>
        <w:t>。</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五、一般公共预算支出预算情况说明</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湖滨区工业园区办公室2021年一般公共预算支出年初预算为69.25万元。主要用于以下方面：一般公共服务支出5万元，占7.22%；社会保障和就业支出9.38万元，占13.55%；卫生健康支出5.03万元，占7.26%；资源勘探信息等支出44.81万元，占64.71%；住房保障支出5.03万元，占7.26%。</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六、支出预算经济分类情况说明</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w:t>
      </w:r>
      <w:r>
        <w:rPr>
          <w:rFonts w:hint="eastAsia" w:ascii="仿宋" w:hAnsi="仿宋" w:eastAsia="仿宋" w:cs="仿宋"/>
          <w:sz w:val="32"/>
          <w:szCs w:val="32"/>
        </w:rPr>
        <w:t>按照《财政部关于印发&lt;支出经济分类科目改革方案&gt;的通知》(财预〔</w:t>
      </w: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7</w:t>
      </w:r>
      <w:r>
        <w:rPr>
          <w:rFonts w:hint="eastAsia" w:ascii="仿宋" w:hAnsi="仿宋" w:eastAsia="仿宋" w:cs="仿宋"/>
          <w:sz w:val="32"/>
          <w:szCs w:val="32"/>
        </w:rPr>
        <w:t>〕98号)要求，从</w:t>
      </w:r>
      <w:r>
        <w:rPr>
          <w:rFonts w:hint="eastAsia" w:ascii="仿宋" w:hAnsi="仿宋" w:eastAsia="仿宋" w:cs="仿宋"/>
          <w:sz w:val="32"/>
          <w:szCs w:val="32"/>
          <w:lang w:val="en-US" w:eastAsia="zh-CN"/>
        </w:rPr>
        <w:t>2018</w:t>
      </w:r>
      <w:r>
        <w:rPr>
          <w:rFonts w:hint="eastAsia" w:ascii="仿宋" w:hAnsi="仿宋" w:eastAsia="仿宋" w:cs="仿宋"/>
          <w:sz w:val="32"/>
          <w:szCs w:val="32"/>
        </w:rPr>
        <w:t>年起全面实施支出经济分类科目改革，根据政府预算管理和部门预算管理的不同特点，分设部门预算支出经济分类科目和政府预算支出经济分类科目，两套科目之间保持对应关系。为适应改革要求，我</w:t>
      </w:r>
      <w:r>
        <w:rPr>
          <w:rFonts w:hint="eastAsia" w:ascii="仿宋" w:hAnsi="仿宋" w:eastAsia="仿宋" w:cs="仿宋"/>
          <w:sz w:val="32"/>
          <w:szCs w:val="32"/>
          <w:lang w:eastAsia="zh-CN"/>
        </w:rPr>
        <w:t>单位</w:t>
      </w:r>
      <w:r>
        <w:rPr>
          <w:rFonts w:hint="eastAsia" w:ascii="仿宋" w:hAnsi="仿宋" w:eastAsia="仿宋" w:cs="仿宋"/>
          <w:sz w:val="32"/>
          <w:szCs w:val="32"/>
        </w:rPr>
        <w:t>《支出经济分类汇总表》调整为按两套经济分类科目分别反映不同资金来源的全部预算支出</w:t>
      </w:r>
      <w:r>
        <w:rPr>
          <w:rStyle w:val="7"/>
          <w:rFonts w:ascii="仿宋" w:hAnsi="仿宋" w:eastAsia="仿宋"/>
          <w:b w:val="0"/>
          <w:i w:val="0"/>
          <w:caps w:val="0"/>
          <w:spacing w:val="0"/>
          <w:w w:val="100"/>
          <w:kern w:val="2"/>
          <w:sz w:val="32"/>
          <w:szCs w:val="32"/>
          <w:lang w:val="en-US" w:eastAsia="zh-CN" w:bidi="ar-SA"/>
        </w:rPr>
        <w:t>。</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七、政府性基金预算收支情况说明</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我单位2021年政府性基金预算安排收入0万元，支出0万元。较上年无变化。</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八、“三公”经费支出预算情况说明</w:t>
      </w:r>
    </w:p>
    <w:p>
      <w:pPr>
        <w:snapToGrid/>
        <w:spacing w:before="0" w:beforeAutospacing="0" w:after="0" w:afterAutospacing="0" w:line="240" w:lineRule="auto"/>
        <w:jc w:val="both"/>
        <w:textAlignment w:val="baseline"/>
        <w:rPr>
          <w:rStyle w:val="7"/>
          <w:rFonts w:ascii="仿宋" w:hAnsi="仿宋" w:eastAsia="仿宋" w:cs="仿宋"/>
          <w:b/>
          <w:bCs/>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我单位2021年“三公”经费预算为4.5万元。</w:t>
      </w:r>
      <w:r>
        <w:rPr>
          <w:rStyle w:val="7"/>
          <w:rFonts w:ascii="仿宋" w:hAnsi="仿宋" w:eastAsia="仿宋" w:cs="仿宋"/>
          <w:b/>
          <w:bCs/>
          <w:i w:val="0"/>
          <w:caps w:val="0"/>
          <w:spacing w:val="0"/>
          <w:w w:val="100"/>
          <w:kern w:val="2"/>
          <w:sz w:val="32"/>
          <w:szCs w:val="32"/>
          <w:lang w:val="en-US" w:eastAsia="zh-CN" w:bidi="ar-SA"/>
        </w:rPr>
        <w:t>2021年“三公”经费支出预算数较2020年持平。</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具体支出情况如下：</w:t>
      </w:r>
    </w:p>
    <w:p>
      <w:pPr>
        <w:snapToGrid/>
        <w:spacing w:before="0" w:beforeAutospacing="0" w:after="0" w:afterAutospacing="0" w:line="240" w:lineRule="auto"/>
        <w:ind w:firstLine="640"/>
        <w:jc w:val="both"/>
        <w:textAlignment w:val="baseline"/>
        <w:rPr>
          <w:rStyle w:val="7"/>
          <w:rFonts w:ascii="仿宋" w:hAnsi="仿宋" w:eastAsia="仿宋" w:cs="仿宋"/>
          <w:b/>
          <w:bCs/>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w:t>
      </w:r>
      <w:r>
        <w:rPr>
          <w:rStyle w:val="7"/>
          <w:rFonts w:ascii="仿宋" w:hAnsi="仿宋" w:eastAsia="仿宋"/>
          <w:b w:val="0"/>
          <w:i w:val="0"/>
          <w:caps w:val="0"/>
          <w:spacing w:val="0"/>
          <w:w w:val="100"/>
          <w:kern w:val="2"/>
          <w:sz w:val="32"/>
          <w:szCs w:val="32"/>
          <w:highlight w:val="none"/>
          <w:lang w:val="en-US" w:eastAsia="zh-CN" w:bidi="ar-SA"/>
        </w:rPr>
        <w:t>(一)因公出国(境)费0万元</w:t>
      </w:r>
      <w:r>
        <w:rPr>
          <w:rFonts w:hint="eastAsia" w:ascii="仿宋" w:hAnsi="仿宋" w:eastAsia="仿宋" w:cs="仿宋"/>
          <w:sz w:val="32"/>
          <w:szCs w:val="32"/>
          <w:highlight w:val="none"/>
        </w:rPr>
        <w:t>，</w:t>
      </w:r>
      <w:r>
        <w:rPr>
          <w:rFonts w:hint="eastAsia" w:ascii="仿宋" w:hAnsi="仿宋" w:eastAsia="仿宋" w:cs="仿宋"/>
          <w:sz w:val="32"/>
          <w:szCs w:val="32"/>
        </w:rPr>
        <w:t>主要用于单位工作人员公务出国(境)的住宿费、旅费、伙食补助费、杂费、培训费等支出。</w:t>
      </w:r>
      <w:r>
        <w:rPr>
          <w:rFonts w:hint="eastAsia" w:ascii="仿宋" w:hAnsi="仿宋" w:eastAsia="仿宋" w:cs="仿宋"/>
          <w:b/>
          <w:bCs/>
          <w:sz w:val="32"/>
          <w:szCs w:val="32"/>
        </w:rPr>
        <w:t>预算数</w:t>
      </w:r>
      <w:r>
        <w:rPr>
          <w:rFonts w:hint="eastAsia" w:ascii="仿宋" w:hAnsi="仿宋" w:eastAsia="仿宋" w:cs="仿宋"/>
          <w:b/>
          <w:bCs/>
          <w:sz w:val="32"/>
          <w:szCs w:val="32"/>
          <w:lang w:eastAsia="zh-CN"/>
        </w:rPr>
        <w:t>较2020</w:t>
      </w:r>
      <w:r>
        <w:rPr>
          <w:rFonts w:hint="eastAsia" w:ascii="仿宋" w:hAnsi="仿宋" w:eastAsia="仿宋" w:cs="仿宋"/>
          <w:b/>
          <w:bCs/>
          <w:sz w:val="32"/>
          <w:szCs w:val="32"/>
        </w:rPr>
        <w:t>年</w:t>
      </w:r>
      <w:r>
        <w:rPr>
          <w:rFonts w:hint="eastAsia" w:ascii="仿宋" w:hAnsi="仿宋" w:eastAsia="仿宋" w:cs="仿宋"/>
          <w:b/>
          <w:bCs/>
          <w:sz w:val="32"/>
          <w:szCs w:val="32"/>
          <w:lang w:val="en-US" w:eastAsia="zh-CN"/>
        </w:rPr>
        <w:t>持平</w:t>
      </w:r>
      <w:r>
        <w:rPr>
          <w:rFonts w:hint="eastAsia" w:ascii="仿宋" w:hAnsi="仿宋" w:eastAsia="仿宋" w:cs="仿宋"/>
          <w:b/>
          <w:bCs/>
          <w:sz w:val="32"/>
          <w:szCs w:val="32"/>
        </w:rPr>
        <w:t>。</w:t>
      </w:r>
      <w:r>
        <w:rPr>
          <w:rFonts w:hint="eastAsia" w:ascii="仿宋" w:hAnsi="仿宋" w:eastAsia="仿宋" w:cs="仿宋"/>
          <w:b/>
          <w:bCs/>
          <w:sz w:val="32"/>
          <w:szCs w:val="32"/>
          <w:lang w:eastAsia="zh-CN"/>
        </w:rPr>
        <w:t>主要原因是：</w:t>
      </w:r>
      <w:r>
        <w:rPr>
          <w:rFonts w:hint="eastAsia" w:ascii="仿宋" w:hAnsi="仿宋" w:eastAsia="仿宋" w:cs="仿宋"/>
          <w:b/>
          <w:bCs/>
          <w:sz w:val="32"/>
          <w:szCs w:val="32"/>
          <w:lang w:val="en-US" w:eastAsia="zh-CN"/>
        </w:rPr>
        <w:t>我单位无该项业务。</w:t>
      </w:r>
    </w:p>
    <w:p>
      <w:pPr>
        <w:snapToGrid/>
        <w:spacing w:before="0" w:beforeAutospacing="0" w:after="0" w:afterAutospacing="0" w:line="240" w:lineRule="auto"/>
        <w:ind w:firstLine="640"/>
        <w:jc w:val="both"/>
        <w:textAlignment w:val="baseline"/>
        <w:rPr>
          <w:rStyle w:val="7"/>
          <w:rFonts w:ascii="仿宋" w:hAnsi="仿宋" w:eastAsia="仿宋" w:cs="仿宋"/>
          <w:b/>
          <w:bCs/>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(二)公务用车购置及运行费3万元，其中，</w:t>
      </w:r>
      <w:r>
        <w:rPr>
          <w:rStyle w:val="7"/>
          <w:rFonts w:ascii="仿宋" w:hAnsi="仿宋" w:eastAsia="仿宋" w:cs="仿宋"/>
          <w:b/>
          <w:bCs/>
          <w:i w:val="0"/>
          <w:caps w:val="0"/>
          <w:spacing w:val="0"/>
          <w:w w:val="100"/>
          <w:kern w:val="2"/>
          <w:sz w:val="32"/>
          <w:szCs w:val="32"/>
          <w:lang w:val="en-US" w:eastAsia="zh-CN" w:bidi="ar-SA"/>
        </w:rPr>
        <w:t>公务用车购置费0元；公务用车运行维护费3万元，</w:t>
      </w:r>
      <w:r>
        <w:rPr>
          <w:rStyle w:val="7"/>
          <w:rFonts w:ascii="仿宋" w:hAnsi="仿宋" w:eastAsia="仿宋"/>
          <w:b w:val="0"/>
          <w:i w:val="0"/>
          <w:caps w:val="0"/>
          <w:spacing w:val="0"/>
          <w:w w:val="100"/>
          <w:kern w:val="2"/>
          <w:sz w:val="32"/>
          <w:szCs w:val="32"/>
          <w:lang w:val="en-US" w:eastAsia="zh-CN" w:bidi="ar-SA"/>
        </w:rPr>
        <w:t>主要用于开展工作所需公务用车的燃料费、维修费、过路过桥费、保险费、安全奖励费用等支出。公务用车购置费预算数和公务用车运行维护费</w:t>
      </w:r>
      <w:r>
        <w:rPr>
          <w:rStyle w:val="7"/>
          <w:rFonts w:ascii="仿宋" w:hAnsi="仿宋" w:eastAsia="仿宋" w:cs="仿宋"/>
          <w:b/>
          <w:bCs/>
          <w:i w:val="0"/>
          <w:caps w:val="0"/>
          <w:spacing w:val="0"/>
          <w:w w:val="100"/>
          <w:kern w:val="2"/>
          <w:sz w:val="32"/>
          <w:szCs w:val="32"/>
          <w:lang w:val="en-US" w:eastAsia="zh-CN" w:bidi="ar-SA"/>
        </w:rPr>
        <w:t>预算数较2020年持平。</w:t>
      </w:r>
      <w:r>
        <w:rPr>
          <w:rStyle w:val="7"/>
          <w:rFonts w:ascii="仿宋" w:hAnsi="仿宋" w:eastAsia="仿宋" w:cs="仿宋"/>
          <w:b/>
          <w:bCs/>
          <w:i w:val="0"/>
          <w:caps w:val="0"/>
          <w:spacing w:val="0"/>
          <w:w w:val="100"/>
          <w:kern w:val="2"/>
          <w:sz w:val="32"/>
          <w:szCs w:val="32"/>
          <w:highlight w:val="none"/>
          <w:lang w:val="en-US" w:eastAsia="zh-CN" w:bidi="ar-SA"/>
        </w:rPr>
        <w:t>主要原因是：</w:t>
      </w:r>
      <w:r>
        <w:rPr>
          <w:rFonts w:hint="eastAsia" w:ascii="仿宋" w:hAnsi="仿宋" w:eastAsia="仿宋" w:cs="仿宋"/>
          <w:b/>
          <w:bCs/>
          <w:sz w:val="32"/>
          <w:szCs w:val="32"/>
          <w:highlight w:val="none"/>
          <w:lang w:val="en-US" w:eastAsia="zh-CN"/>
        </w:rPr>
        <w:t>我单位严格按照八项规定的要求，规范公务用车制度</w:t>
      </w:r>
      <w:r>
        <w:rPr>
          <w:rStyle w:val="7"/>
          <w:rFonts w:hint="eastAsia" w:ascii="仿宋" w:hAnsi="仿宋" w:eastAsia="仿宋" w:cs="仿宋"/>
          <w:b/>
          <w:bCs/>
          <w:i w:val="0"/>
          <w:caps w:val="0"/>
          <w:spacing w:val="0"/>
          <w:w w:val="100"/>
          <w:kern w:val="2"/>
          <w:sz w:val="32"/>
          <w:szCs w:val="32"/>
          <w:highlight w:val="none"/>
          <w:lang w:val="en-US" w:eastAsia="zh-CN" w:bidi="ar-SA"/>
        </w:rPr>
        <w:t>。</w:t>
      </w:r>
    </w:p>
    <w:p>
      <w:pPr>
        <w:snapToGrid/>
        <w:spacing w:before="0" w:beforeAutospacing="0" w:after="0" w:afterAutospacing="0" w:line="240" w:lineRule="auto"/>
        <w:ind w:firstLine="640"/>
        <w:jc w:val="both"/>
        <w:textAlignment w:val="baseline"/>
        <w:rPr>
          <w:rStyle w:val="7"/>
          <w:rFonts w:ascii="仿宋" w:hAnsi="仿宋" w:eastAsia="仿宋" w:cs="仿宋"/>
          <w:b/>
          <w:bCs/>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(三)公务接待费0.5万元，主要用于按规定开支的各类公务接待(含外宾接待)支出。</w:t>
      </w:r>
      <w:r>
        <w:rPr>
          <w:rStyle w:val="7"/>
          <w:rFonts w:ascii="仿宋" w:hAnsi="仿宋" w:eastAsia="仿宋" w:cs="仿宋"/>
          <w:b/>
          <w:bCs/>
          <w:i w:val="0"/>
          <w:caps w:val="0"/>
          <w:spacing w:val="0"/>
          <w:w w:val="100"/>
          <w:kern w:val="2"/>
          <w:sz w:val="32"/>
          <w:szCs w:val="32"/>
          <w:lang w:val="en-US" w:eastAsia="zh-CN" w:bidi="ar-SA"/>
        </w:rPr>
        <w:t>预算数较2020年降低66.67%。主要原因是：</w:t>
      </w:r>
      <w:bookmarkStart w:id="0" w:name="_GoBack"/>
      <w:r>
        <w:rPr>
          <w:rStyle w:val="7"/>
          <w:rFonts w:ascii="仿宋_GB2312" w:hAnsi="宋体" w:eastAsia="仿宋_GB2312"/>
          <w:b/>
          <w:bCs/>
          <w:i w:val="0"/>
          <w:caps w:val="0"/>
          <w:color w:val="000000"/>
          <w:spacing w:val="0"/>
          <w:w w:val="100"/>
          <w:kern w:val="2"/>
          <w:sz w:val="32"/>
          <w:szCs w:val="32"/>
          <w:lang w:val="en-US" w:eastAsia="zh-CN" w:bidi="ar-SA"/>
        </w:rPr>
        <w:t>按照中央八项规定，厉行节约</w:t>
      </w:r>
      <w:bookmarkEnd w:id="0"/>
      <w:r>
        <w:rPr>
          <w:rStyle w:val="7"/>
          <w:rFonts w:ascii="仿宋_GB2312" w:hAnsi="宋体" w:eastAsia="仿宋_GB2312"/>
          <w:b w:val="0"/>
          <w:i w:val="0"/>
          <w:caps w:val="0"/>
          <w:color w:val="000000"/>
          <w:spacing w:val="0"/>
          <w:w w:val="100"/>
          <w:kern w:val="2"/>
          <w:sz w:val="32"/>
          <w:szCs w:val="32"/>
          <w:lang w:val="en-US" w:eastAsia="zh-CN" w:bidi="ar-SA"/>
        </w:rPr>
        <w:t>。</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九、其他重要事项的情况说明</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(一)机关运行经费支出情况</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湖滨区工业园区办公室</w:t>
      </w:r>
      <w:r>
        <w:rPr>
          <w:rStyle w:val="7"/>
          <w:rFonts w:ascii="仿宋" w:hAnsi="仿宋" w:eastAsia="仿宋"/>
          <w:b w:val="0"/>
          <w:i w:val="0"/>
          <w:caps w:val="0"/>
          <w:color w:val="000000"/>
          <w:spacing w:val="0"/>
          <w:w w:val="100"/>
          <w:kern w:val="2"/>
          <w:sz w:val="32"/>
          <w:szCs w:val="32"/>
          <w:lang w:val="en-US" w:eastAsia="zh-CN" w:bidi="ar-SA"/>
        </w:rPr>
        <w:t>2</w:t>
      </w:r>
      <w:r>
        <w:rPr>
          <w:rStyle w:val="7"/>
          <w:rFonts w:ascii="仿宋" w:hAnsi="仿宋" w:eastAsia="仿宋"/>
          <w:b w:val="0"/>
          <w:i w:val="0"/>
          <w:caps w:val="0"/>
          <w:spacing w:val="0"/>
          <w:w w:val="100"/>
          <w:kern w:val="2"/>
          <w:sz w:val="32"/>
          <w:szCs w:val="32"/>
          <w:lang w:val="en-US" w:eastAsia="zh-CN" w:bidi="ar-SA"/>
        </w:rPr>
        <w:t>021年机关运行经费支出预算4.23万元，主要保障机构正常运转及正常履职需要。</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(二)政府采购支出情况</w:t>
      </w:r>
    </w:p>
    <w:p>
      <w:pPr>
        <w:snapToGrid/>
        <w:spacing w:before="0" w:beforeAutospacing="0" w:after="0" w:afterAutospacing="0" w:line="240" w:lineRule="auto"/>
        <w:ind w:firstLine="640"/>
        <w:jc w:val="both"/>
        <w:textAlignment w:val="baseline"/>
        <w:rPr>
          <w:rStyle w:val="7"/>
          <w:rFonts w:ascii="仿宋" w:hAnsi="仿宋" w:eastAsia="仿宋"/>
          <w:b w:val="0"/>
          <w:i w:val="0"/>
          <w:caps w:val="0"/>
          <w:color w:val="00000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湖滨区工业园区办公室政府采购预算安排0万元。其中：</w:t>
      </w:r>
      <w:r>
        <w:rPr>
          <w:rStyle w:val="7"/>
          <w:rFonts w:ascii="仿宋" w:hAnsi="仿宋" w:eastAsia="仿宋"/>
          <w:b w:val="0"/>
          <w:i w:val="0"/>
          <w:caps w:val="0"/>
          <w:color w:val="000000"/>
          <w:spacing w:val="0"/>
          <w:w w:val="100"/>
          <w:kern w:val="2"/>
          <w:sz w:val="32"/>
          <w:szCs w:val="32"/>
          <w:lang w:val="en-US" w:eastAsia="zh-CN" w:bidi="ar-SA"/>
        </w:rPr>
        <w:t>政府采购货物预算0万元，政府采购工程预算0万元，政府采购服务预算0万元。</w:t>
      </w:r>
    </w:p>
    <w:p>
      <w:pPr>
        <w:snapToGrid/>
        <w:spacing w:before="0" w:beforeAutospacing="0" w:after="0" w:afterAutospacing="0" w:line="240" w:lineRule="auto"/>
        <w:ind w:firstLine="64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(三)关于预算绩效管理工作开展情况说明</w:t>
      </w:r>
    </w:p>
    <w:p>
      <w:pPr>
        <w:snapToGrid/>
        <w:spacing w:before="0" w:beforeAutospacing="0" w:after="0" w:afterAutospacing="0" w:line="240" w:lineRule="auto"/>
        <w:ind w:firstLine="650"/>
        <w:jc w:val="both"/>
        <w:textAlignment w:val="baseline"/>
        <w:rPr>
          <w:rStyle w:val="7"/>
          <w:rFonts w:ascii="仿宋" w:hAnsi="仿宋" w:eastAsia="仿宋"/>
          <w:b w:val="0"/>
          <w:i w:val="0"/>
          <w:caps w:val="0"/>
          <w:spacing w:val="0"/>
          <w:w w:val="100"/>
          <w:kern w:val="2"/>
          <w:sz w:val="32"/>
          <w:szCs w:val="32"/>
          <w:lang w:val="en-US" w:eastAsia="zh-CN" w:bidi="ar-SA"/>
        </w:rPr>
      </w:pPr>
      <w:r>
        <w:rPr>
          <w:rFonts w:hint="eastAsia" w:ascii="仿宋" w:hAnsi="仿宋" w:eastAsia="仿宋" w:cs="仿宋"/>
          <w:sz w:val="32"/>
          <w:szCs w:val="32"/>
          <w:highlight w:val="none"/>
        </w:rPr>
        <w:t>我</w:t>
      </w:r>
      <w:r>
        <w:rPr>
          <w:rFonts w:hint="eastAsia" w:ascii="仿宋" w:hAnsi="仿宋" w:eastAsia="仿宋" w:cs="仿宋"/>
          <w:sz w:val="32"/>
          <w:szCs w:val="32"/>
          <w:highlight w:val="none"/>
          <w:lang w:eastAsia="zh-CN"/>
        </w:rPr>
        <w:t>单位2021年预算项目均按要求编制了绩效目标，从项目产出、项目效益、满意度等方面设置了绩效指标，综合反映项目预期完成的数量、实效、质量，预期达到的社会经济效益、可持续影响以及服务对象满意度等情况</w:t>
      </w:r>
      <w:r>
        <w:rPr>
          <w:rStyle w:val="7"/>
          <w:rFonts w:ascii="仿宋" w:hAnsi="仿宋" w:eastAsia="仿宋"/>
          <w:b w:val="0"/>
          <w:i w:val="0"/>
          <w:caps w:val="0"/>
          <w:spacing w:val="0"/>
          <w:w w:val="100"/>
          <w:kern w:val="2"/>
          <w:sz w:val="32"/>
          <w:szCs w:val="32"/>
          <w:lang w:val="en-US" w:eastAsia="zh-CN" w:bidi="ar-SA"/>
        </w:rPr>
        <w:t>。</w:t>
      </w:r>
    </w:p>
    <w:p>
      <w:pPr>
        <w:snapToGrid/>
        <w:spacing w:before="0" w:beforeAutospacing="0" w:after="0" w:afterAutospacing="0" w:line="240" w:lineRule="auto"/>
        <w:ind w:firstLine="65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(四)国有资产占用情况</w:t>
      </w:r>
    </w:p>
    <w:p>
      <w:pPr>
        <w:snapToGrid/>
        <w:spacing w:before="0" w:beforeAutospacing="0" w:after="0" w:afterAutospacing="0" w:line="240" w:lineRule="auto"/>
        <w:ind w:firstLine="640" w:firstLineChars="200"/>
        <w:jc w:val="both"/>
        <w:textAlignment w:val="baseline"/>
        <w:rPr>
          <w:rStyle w:val="7"/>
          <w:rFonts w:ascii="仿宋" w:hAnsi="仿宋" w:eastAsia="仿宋"/>
          <w:b w:val="0"/>
          <w:i w:val="0"/>
          <w:caps w:val="0"/>
          <w:color w:val="FF000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2020年期末，我单位共有车辆1辆，全部为一般公务用车；单价50万元以上通用设备0台(套)，单位价值100万元以上专用设备0台(套)。</w:t>
      </w:r>
    </w:p>
    <w:p>
      <w:pPr>
        <w:snapToGrid/>
        <w:spacing w:before="0" w:beforeAutospacing="0" w:after="0" w:afterAutospacing="0" w:line="240" w:lineRule="auto"/>
        <w:ind w:firstLine="65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（五）专项转移支付项目情况</w:t>
      </w:r>
    </w:p>
    <w:p>
      <w:pPr>
        <w:snapToGrid/>
        <w:spacing w:before="0" w:beforeAutospacing="0" w:after="0" w:afterAutospacing="0" w:line="240" w:lineRule="auto"/>
        <w:ind w:firstLine="640" w:firstLineChars="200"/>
        <w:jc w:val="both"/>
        <w:textAlignment w:val="baseline"/>
        <w:rPr>
          <w:rStyle w:val="7"/>
          <w:rFonts w:ascii="仿宋" w:hAnsi="仿宋" w:eastAsia="仿宋"/>
          <w:b w:val="0"/>
          <w:i w:val="0"/>
          <w:caps w:val="0"/>
          <w:color w:val="000000"/>
          <w:spacing w:val="0"/>
          <w:w w:val="100"/>
          <w:kern w:val="2"/>
          <w:sz w:val="32"/>
          <w:szCs w:val="32"/>
          <w:lang w:val="en-US" w:eastAsia="zh-CN" w:bidi="ar-SA"/>
        </w:rPr>
      </w:pPr>
      <w:r>
        <w:rPr>
          <w:rStyle w:val="7"/>
          <w:rFonts w:ascii="仿宋" w:hAnsi="仿宋" w:eastAsia="仿宋"/>
          <w:b w:val="0"/>
          <w:i w:val="0"/>
          <w:caps w:val="0"/>
          <w:color w:val="000000"/>
          <w:spacing w:val="0"/>
          <w:w w:val="100"/>
          <w:kern w:val="2"/>
          <w:sz w:val="32"/>
          <w:szCs w:val="32"/>
          <w:lang w:val="en-US" w:eastAsia="zh-CN" w:bidi="ar-SA"/>
        </w:rPr>
        <w:t>我单位2021年负责管理的专项转移支付项目共有0项</w:t>
      </w:r>
      <w:r>
        <w:rPr>
          <w:rFonts w:hint="eastAsia" w:ascii="仿宋" w:hAnsi="仿宋" w:eastAsia="仿宋" w:cs="仿宋"/>
          <w:color w:val="auto"/>
          <w:sz w:val="32"/>
          <w:szCs w:val="32"/>
          <w:lang w:eastAsia="zh-CN"/>
        </w:rPr>
        <w:t>，我单位将按照《预算法》等有关规定，积极做好项目分配前期准备工作，在规定的时间内向财政部门提出资金分配意见，根据有关要求做好项目申报公开等相关工作</w:t>
      </w:r>
      <w:r>
        <w:rPr>
          <w:rStyle w:val="7"/>
          <w:rFonts w:ascii="仿宋" w:hAnsi="仿宋" w:eastAsia="仿宋"/>
          <w:b w:val="0"/>
          <w:i w:val="0"/>
          <w:caps w:val="0"/>
          <w:color w:val="000000"/>
          <w:spacing w:val="0"/>
          <w:w w:val="100"/>
          <w:kern w:val="2"/>
          <w:sz w:val="32"/>
          <w:szCs w:val="32"/>
          <w:lang w:val="en-US" w:eastAsia="zh-CN" w:bidi="ar-SA"/>
        </w:rPr>
        <w:t>。</w:t>
      </w:r>
    </w:p>
    <w:p>
      <w:pPr>
        <w:snapToGrid/>
        <w:spacing w:before="0" w:beforeAutospacing="0" w:after="0" w:afterAutospacing="0" w:line="240" w:lineRule="auto"/>
        <w:jc w:val="center"/>
        <w:textAlignment w:val="baseline"/>
        <w:rPr>
          <w:rStyle w:val="7"/>
          <w:rFonts w:ascii="仿宋" w:hAnsi="仿宋" w:eastAsia="仿宋" w:cs="仿宋"/>
          <w:b/>
          <w:bCs/>
          <w:i w:val="0"/>
          <w:caps w:val="0"/>
          <w:spacing w:val="0"/>
          <w:w w:val="100"/>
          <w:kern w:val="2"/>
          <w:sz w:val="32"/>
          <w:szCs w:val="32"/>
          <w:lang w:val="en-US" w:eastAsia="zh-CN" w:bidi="ar-SA"/>
        </w:rPr>
      </w:pPr>
      <w:r>
        <w:rPr>
          <w:b w:val="0"/>
          <w:i w:val="0"/>
          <w:caps w:val="0"/>
          <w:spacing w:val="0"/>
          <w:w w:val="100"/>
          <w:sz w:val="20"/>
        </w:rPr>
        <w:br w:type="page"/>
      </w:r>
      <w:r>
        <w:rPr>
          <w:rStyle w:val="7"/>
          <w:rFonts w:ascii="仿宋" w:hAnsi="仿宋" w:eastAsia="仿宋" w:cs="仿宋"/>
          <w:b/>
          <w:bCs/>
          <w:i w:val="0"/>
          <w:caps w:val="0"/>
          <w:spacing w:val="0"/>
          <w:w w:val="100"/>
          <w:kern w:val="2"/>
          <w:sz w:val="32"/>
          <w:szCs w:val="32"/>
          <w:lang w:val="en-US" w:eastAsia="zh-CN" w:bidi="ar-SA"/>
        </w:rPr>
        <w:t>第三部分</w:t>
      </w:r>
    </w:p>
    <w:p>
      <w:pPr>
        <w:snapToGrid/>
        <w:spacing w:before="0" w:beforeAutospacing="0" w:after="0" w:afterAutospacing="0" w:line="240" w:lineRule="auto"/>
        <w:jc w:val="center"/>
        <w:textAlignment w:val="baseline"/>
        <w:rPr>
          <w:rStyle w:val="7"/>
          <w:rFonts w:ascii="仿宋" w:hAnsi="仿宋" w:eastAsia="仿宋" w:cs="仿宋"/>
          <w:b/>
          <w:bCs/>
          <w:i w:val="0"/>
          <w:caps w:val="0"/>
          <w:spacing w:val="0"/>
          <w:w w:val="100"/>
          <w:kern w:val="2"/>
          <w:sz w:val="32"/>
          <w:szCs w:val="32"/>
          <w:lang w:val="en-US" w:eastAsia="zh-CN" w:bidi="ar-SA"/>
        </w:rPr>
      </w:pPr>
      <w:r>
        <w:rPr>
          <w:rStyle w:val="7"/>
          <w:rFonts w:ascii="仿宋" w:hAnsi="仿宋" w:eastAsia="仿宋" w:cs="仿宋"/>
          <w:b/>
          <w:bCs/>
          <w:i w:val="0"/>
          <w:caps w:val="0"/>
          <w:spacing w:val="0"/>
          <w:w w:val="100"/>
          <w:kern w:val="2"/>
          <w:sz w:val="32"/>
          <w:szCs w:val="32"/>
          <w:lang w:val="en-US" w:eastAsia="zh-CN" w:bidi="ar-SA"/>
        </w:rPr>
        <w:t>名词解释</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一、财政拨款收入：是指区级财政当年拨付的资金。</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二、事业收入：是指事业单位开展专业活动及辅助活动所取得的收入。</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三、其他收入：是指部门取得的除“财政拨款”、“事业收入”、“事业单位经营收入”等以外的收入。</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支差额的基金)弥补当年收支缺口的资金。</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五、基本支出：是指为保障机构正常运转、完成日常工作任务所必需的开支，其内容包括人员经费和日常公用经费两部分。</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六、项目支出：是指在基本支出之外，为完成特定的行政工作任务或事业发展目标所发生的支出。</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七、“三公”经费：是指纳入区级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八、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附件：三门峡市湖滨区工业园区办公室2021年度部门预算表</w:t>
      </w:r>
    </w:p>
    <w:p>
      <w:pPr>
        <w:snapToGrid/>
        <w:spacing w:before="0" w:beforeAutospacing="0" w:after="0" w:afterAutospacing="0" w:line="240" w:lineRule="auto"/>
        <w:jc w:val="both"/>
        <w:textAlignment w:val="baseline"/>
        <w:rPr>
          <w:rStyle w:val="7"/>
          <w:rFonts w:ascii="仿宋" w:hAnsi="仿宋" w:eastAsia="仿宋"/>
          <w:b w:val="0"/>
          <w:i w:val="0"/>
          <w:caps w:val="0"/>
          <w:spacing w:val="0"/>
          <w:w w:val="100"/>
          <w:kern w:val="2"/>
          <w:sz w:val="32"/>
          <w:szCs w:val="32"/>
          <w:lang w:val="en-US" w:eastAsia="zh-CN" w:bidi="ar-SA"/>
        </w:rPr>
      </w:pPr>
    </w:p>
    <w:sectPr>
      <w:pgSz w:w="11906" w:h="16838"/>
      <w:pgMar w:top="1588" w:right="1361" w:bottom="1418" w:left="1361" w:header="851" w:footer="992" w:gutter="0"/>
      <w:lnNumType w:countBy="0"/>
      <w:cols w:space="425"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margin" w:hAnchor="text" w:xAlign="center" w:yAlign="inline"/>
      <w:widowControl/>
      <w:snapToGrid w:val="0"/>
      <w:jc w:val="left"/>
      <w:textAlignment w:val="baseline"/>
      <w:rPr>
        <w:rStyle w:val="16"/>
        <w:kern w:val="2"/>
        <w:sz w:val="18"/>
        <w:szCs w:val="18"/>
        <w:lang w:val="en-US" w:eastAsia="zh-CN" w:bidi="ar-SA"/>
      </w:rPr>
    </w:pPr>
  </w:p>
  <w:p>
    <w:pPr>
      <w:pStyle w:val="2"/>
      <w:widowControl/>
      <w:snapToGrid w:val="0"/>
      <w:jc w:val="left"/>
      <w:textAlignment w:val="baseline"/>
      <w:rPr>
        <w:rStyle w:val="7"/>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margin" w:hAnchor="text" w:xAlign="center" w:yAlign="inline"/>
      <w:widowControl/>
      <w:snapToGrid w:val="0"/>
      <w:jc w:val="left"/>
      <w:textAlignment w:val="baseline"/>
      <w:rPr>
        <w:rStyle w:val="16"/>
        <w:kern w:val="2"/>
        <w:sz w:val="18"/>
        <w:szCs w:val="18"/>
        <w:lang w:val="en-US" w:eastAsia="zh-CN" w:bidi="ar-SA"/>
      </w:rPr>
    </w:pPr>
  </w:p>
  <w:p>
    <w:pPr>
      <w:pStyle w:val="2"/>
      <w:widowControl/>
      <w:snapToGrid w:val="0"/>
      <w:jc w:val="left"/>
      <w:textAlignment w:val="baseline"/>
      <w:rPr>
        <w:rStyle w:val="7"/>
        <w:kern w:val="2"/>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idowControl/>
      <w:snapToGrid w:val="0"/>
      <w:jc w:val="left"/>
      <w:textAlignment w:val="baseline"/>
      <w:rPr>
        <w:rStyle w:val="7"/>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idowControl/>
      <w:pBdr>
        <w:bottom w:val="none" w:color="auto" w:sz="0" w:space="0"/>
      </w:pBdr>
      <w:snapToGrid w:val="0"/>
      <w:jc w:val="center"/>
      <w:textAlignment w:val="baseline"/>
      <w:rPr>
        <w:rStyle w:val="7"/>
        <w:kern w:val="2"/>
        <w:sz w:val="18"/>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idowControl/>
      <w:pBdr>
        <w:bottom w:val="single" w:color="000000" w:sz="6" w:space="1"/>
      </w:pBdr>
      <w:snapToGrid w:val="0"/>
      <w:jc w:val="center"/>
      <w:textAlignment w:val="baseline"/>
      <w:rPr>
        <w:rStyle w:val="7"/>
        <w:kern w:val="2"/>
        <w:sz w:val="18"/>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idowControl/>
      <w:pBdr>
        <w:bottom w:val="single" w:color="000000" w:sz="6" w:space="1"/>
      </w:pBdr>
      <w:snapToGrid w:val="0"/>
      <w:jc w:val="center"/>
      <w:textAlignment w:val="baseline"/>
      <w:rPr>
        <w:rStyle w:val="7"/>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D9E600"/>
    <w:multiLevelType w:val="singleLevel"/>
    <w:tmpl w:val="8AD9E600"/>
    <w:lvl w:ilvl="0" w:tentative="0">
      <w:start w:val="1"/>
      <w:numFmt w:val="chineseCounting"/>
      <w:suff w:val="nothing"/>
      <w:lvlText w:val="%1、"/>
      <w:lvlJc w:val="left"/>
      <w:pPr>
        <w:widowControl/>
        <w:ind w:left="0" w:firstLine="420"/>
        <w:textAlignment w:val="baseline"/>
      </w:pPr>
      <w:rPr>
        <w:rStyle w:val="7"/>
      </w:rPr>
    </w:lvl>
  </w:abstractNum>
  <w:abstractNum w:abstractNumId="1">
    <w:nsid w:val="4486FF4F"/>
    <w:multiLevelType w:val="singleLevel"/>
    <w:tmpl w:val="4486FF4F"/>
    <w:lvl w:ilvl="0" w:tentative="0">
      <w:start w:val="1"/>
      <w:numFmt w:val="chineseCounting"/>
      <w:suff w:val="nothing"/>
      <w:lvlText w:val="%1、"/>
      <w:lvlJc w:val="left"/>
      <w:pPr>
        <w:widowControl/>
        <w:ind w:left="0" w:firstLine="420"/>
        <w:textAlignment w:val="baseline"/>
      </w:pPr>
      <w:rPr>
        <w:rStyle w:val="7"/>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isplayHorizontalDrawingGridEvery w:val="1"/>
  <w:displayVerticalDrawingGridEvery w:val="1"/>
  <w:doNotUseMarginsForDrawingGridOrigin w:val="1"/>
  <w:drawingGridHorizontalOrigin w:val="1800"/>
  <w:drawingGridVerticalOrigin w:val="1440"/>
  <w:compat>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000000"/>
    <w:rsid w:val="0865601E"/>
    <w:rsid w:val="17D0209F"/>
    <w:rsid w:val="1C270CF5"/>
    <w:rsid w:val="20EC3427"/>
    <w:rsid w:val="682239A0"/>
    <w:rsid w:val="71DD04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7"/>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textAlignment w:val="baseline"/>
    </w:pPr>
    <w:rPr>
      <w:kern w:val="2"/>
      <w:sz w:val="18"/>
      <w:szCs w:val="18"/>
      <w:lang w:val="en-US" w:eastAsia="zh-CN" w:bidi="ar-SA"/>
    </w:rPr>
  </w:style>
  <w:style w:type="paragraph" w:styleId="3">
    <w:name w:val="header"/>
    <w:basedOn w:val="1"/>
    <w:link w:val="13"/>
    <w:qFormat/>
    <w:uiPriority w:val="0"/>
    <w:pPr>
      <w:pBdr>
        <w:bottom w:val="single" w:color="000000" w:sz="6" w:space="1"/>
      </w:pBdr>
      <w:tabs>
        <w:tab w:val="center" w:pos="4153"/>
        <w:tab w:val="right" w:pos="8306"/>
      </w:tabs>
      <w:snapToGrid w:val="0"/>
      <w:jc w:val="center"/>
      <w:textAlignment w:val="baseline"/>
    </w:pPr>
    <w:rPr>
      <w:kern w:val="2"/>
      <w:sz w:val="18"/>
      <w:szCs w:val="18"/>
      <w:lang w:val="en-US" w:eastAsia="zh-CN" w:bidi="ar-SA"/>
    </w:rPr>
  </w:style>
  <w:style w:type="character" w:styleId="6">
    <w:name w:val="Strong"/>
    <w:basedOn w:val="7"/>
    <w:link w:val="1"/>
    <w:qFormat/>
    <w:uiPriority w:val="0"/>
    <w:rPr>
      <w:b/>
    </w:rPr>
  </w:style>
  <w:style w:type="character" w:customStyle="1" w:styleId="7">
    <w:name w:val="NormalCharacter"/>
    <w:link w:val="1"/>
    <w:semiHidden/>
    <w:qFormat/>
    <w:uiPriority w:val="0"/>
  </w:style>
  <w:style w:type="character" w:styleId="8">
    <w:name w:val="FollowedHyperlink"/>
    <w:basedOn w:val="7"/>
    <w:link w:val="1"/>
    <w:qFormat/>
    <w:uiPriority w:val="0"/>
    <w:rPr>
      <w:rFonts w:ascii="宋体" w:hAnsi="宋体" w:eastAsia="宋体"/>
      <w:color w:val="000000"/>
      <w:sz w:val="18"/>
      <w:szCs w:val="18"/>
    </w:rPr>
  </w:style>
  <w:style w:type="character" w:styleId="9">
    <w:name w:val="Hyperlink"/>
    <w:basedOn w:val="7"/>
    <w:link w:val="1"/>
    <w:qFormat/>
    <w:uiPriority w:val="0"/>
    <w:rPr>
      <w:rFonts w:ascii="宋体" w:hAnsi="宋体" w:eastAsia="宋体"/>
      <w:color w:val="000000"/>
      <w:sz w:val="18"/>
      <w:szCs w:val="18"/>
    </w:rPr>
  </w:style>
  <w:style w:type="table" w:customStyle="1" w:styleId="10">
    <w:name w:val="TableNormal"/>
    <w:semiHidden/>
    <w:qFormat/>
    <w:uiPriority w:val="0"/>
  </w:style>
  <w:style w:type="paragraph" w:customStyle="1" w:styleId="11">
    <w:name w:val="BodyTextIndent"/>
    <w:basedOn w:val="1"/>
    <w:qFormat/>
    <w:uiPriority w:val="0"/>
    <w:pPr>
      <w:spacing w:after="120"/>
      <w:ind w:left="420" w:leftChars="200"/>
      <w:jc w:val="both"/>
      <w:textAlignment w:val="baseline"/>
    </w:pPr>
  </w:style>
  <w:style w:type="character" w:customStyle="1" w:styleId="12">
    <w:name w:val="UserStyle_0"/>
    <w:basedOn w:val="7"/>
    <w:link w:val="2"/>
    <w:qFormat/>
    <w:uiPriority w:val="0"/>
    <w:rPr>
      <w:kern w:val="2"/>
      <w:sz w:val="18"/>
      <w:szCs w:val="18"/>
    </w:rPr>
  </w:style>
  <w:style w:type="character" w:customStyle="1" w:styleId="13">
    <w:name w:val="UserStyle_1"/>
    <w:basedOn w:val="7"/>
    <w:link w:val="3"/>
    <w:qFormat/>
    <w:uiPriority w:val="0"/>
    <w:rPr>
      <w:kern w:val="2"/>
      <w:sz w:val="18"/>
      <w:szCs w:val="18"/>
    </w:rPr>
  </w:style>
  <w:style w:type="paragraph" w:customStyle="1" w:styleId="14">
    <w:name w:val="HtmlNormal"/>
    <w:basedOn w:val="1"/>
    <w:qFormat/>
    <w:uiPriority w:val="0"/>
    <w:pPr>
      <w:spacing w:before="100" w:beforeAutospacing="1" w:after="100" w:afterAutospacing="1" w:line="240" w:lineRule="auto"/>
      <w:ind w:left="0" w:right="0"/>
      <w:jc w:val="left"/>
      <w:textAlignment w:val="baseline"/>
    </w:pPr>
    <w:rPr>
      <w:rFonts w:ascii="宋体" w:hAnsi="宋体" w:eastAsia="宋体"/>
      <w:color w:val="000000"/>
      <w:kern w:val="0"/>
      <w:sz w:val="24"/>
      <w:szCs w:val="24"/>
      <w:lang w:val="en-US" w:eastAsia="zh-CN"/>
    </w:rPr>
  </w:style>
  <w:style w:type="paragraph" w:customStyle="1" w:styleId="15">
    <w:name w:val="BodyText1I2"/>
    <w:basedOn w:val="11"/>
    <w:qFormat/>
    <w:uiPriority w:val="0"/>
    <w:pPr>
      <w:spacing w:after="120"/>
      <w:ind w:left="420" w:leftChars="200" w:firstLine="420" w:firstLineChars="200"/>
      <w:jc w:val="both"/>
      <w:textAlignment w:val="baseline"/>
    </w:pPr>
  </w:style>
  <w:style w:type="character" w:customStyle="1" w:styleId="16">
    <w:name w:val="PageNumber"/>
    <w:basedOn w:val="7"/>
    <w:link w:val="1"/>
    <w:qFormat/>
    <w:uiPriority w:val="0"/>
  </w:style>
  <w:style w:type="character" w:customStyle="1" w:styleId="17">
    <w:name w:val="UserStyle_2"/>
    <w:basedOn w:val="7"/>
    <w:link w:val="1"/>
    <w:qFormat/>
    <w:uiPriority w:val="0"/>
  </w:style>
  <w:style w:type="paragraph" w:customStyle="1" w:styleId="18">
    <w:name w:val="UserStyle_3"/>
    <w:basedOn w:val="1"/>
    <w:qFormat/>
    <w:uiPriority w:val="0"/>
    <w:pPr>
      <w:tabs>
        <w:tab w:val="left" w:pos="360"/>
      </w:tabs>
      <w:jc w:val="both"/>
      <w:textAlignment w:val="baseline"/>
    </w:pPr>
    <w:rPr>
      <w:kern w:val="2"/>
      <w:sz w:val="44"/>
      <w:szCs w:val="24"/>
      <w:lang w:val="en-US" w:eastAsia="zh-CN" w:bidi="ar-SA"/>
    </w:rPr>
  </w:style>
  <w:style w:type="paragraph" w:customStyle="1" w:styleId="19">
    <w:name w:val="UserStyle_4"/>
    <w:basedOn w:val="1"/>
    <w:qFormat/>
    <w:uiPriority w:val="0"/>
    <w:pPr>
      <w:tabs>
        <w:tab w:val="left" w:pos="360"/>
      </w:tabs>
      <w:jc w:val="both"/>
      <w:textAlignment w:val="baseline"/>
    </w:pPr>
    <w:rPr>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Office_11.1.0.10356_F1E327BC-269C-435d-A152-05C5408002CA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2021-03-30T01:44:00Z</dcterms:created>
  <dc:creator>Administrator</dc:creator>
  <cp:lastModifiedBy>我就想试试一个名字到底可以有多长</cp:lastModifiedBy>
  <dcterms:modified xsi:type="dcterms:W3CDTF">2021-03-30T08:48:56Z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CA38EA268FAD4D2884E52049B55B7F23</vt:lpwstr>
  </property>
</Properties>
</file>