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color w:val="auto"/>
          <w:kern w:val="2"/>
          <w:sz w:val="44"/>
          <w:szCs w:val="44"/>
          <w:lang w:val="en-US" w:eastAsia="zh-CN"/>
        </w:rPr>
        <w:t>政务服务和大数据管理局预算公开说明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目录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第一部分　单位概况</w:t>
      </w:r>
    </w:p>
    <w:p>
      <w:pPr>
        <w:widowControl w:val="0"/>
        <w:numPr>
          <w:ilvl w:val="0"/>
          <w:numId w:val="1"/>
        </w:numPr>
        <w:adjustRightInd/>
        <w:snapToGrid/>
        <w:spacing w:after="0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部门预算单位构成</w:t>
      </w:r>
    </w:p>
    <w:p>
      <w:pPr>
        <w:widowControl w:val="0"/>
        <w:numPr>
          <w:ilvl w:val="0"/>
          <w:numId w:val="1"/>
        </w:numPr>
        <w:adjustRightInd/>
        <w:snapToGrid/>
        <w:spacing w:after="0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机构设置情况</w:t>
      </w:r>
    </w:p>
    <w:p>
      <w:pPr>
        <w:widowControl w:val="0"/>
        <w:numPr>
          <w:ilvl w:val="0"/>
          <w:numId w:val="1"/>
        </w:numPr>
        <w:adjustRightInd/>
        <w:snapToGrid/>
        <w:spacing w:after="0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主要职责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第二部分　2021年度部门预算情况说明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第三部分　名词解释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附件：三门峡市湖滨区大数局单位2021年度部门预算表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一、部门收支总体情况表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二、部门收入总体情况表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三、部门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支出总体情况表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四、财政拨款收支总体情况表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五、一般公共预算支出情况表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六、支出经济分类汇总表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七、一般公共预算“三公”经费支出情况表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八、政府性基金预算支出情况表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九、国有资本经营收支预算表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十、整体绩效表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588" w:right="1361" w:bottom="1418" w:left="136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十一、项目绩效目标汇总表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第一部分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单位概况</w:t>
      </w:r>
    </w:p>
    <w:p>
      <w:pPr>
        <w:widowControl w:val="0"/>
        <w:numPr>
          <w:ilvl w:val="0"/>
          <w:numId w:val="2"/>
        </w:numPr>
        <w:adjustRightInd/>
        <w:snapToGrid/>
        <w:spacing w:after="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部门预算构成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此次预算公开内容为本级机关预算，本单位无未独立核算所属二级部门。</w:t>
      </w:r>
    </w:p>
    <w:p>
      <w:pPr>
        <w:widowControl w:val="0"/>
        <w:numPr>
          <w:ilvl w:val="0"/>
          <w:numId w:val="2"/>
        </w:numPr>
        <w:adjustRightInd/>
        <w:snapToGrid/>
        <w:spacing w:after="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机构设置情况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42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政数局设办公室、业务管理股和效能监察股三个股室。编制人数为6人，实有人数6人。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(一)贯彻落实政务服务、政务信息化、信息化和大数据管理相关法律、法规和政策规定;研究拟订相关工作的发展规划、管理规定和管理办法等，并组织实施，推进全区信息化工作。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(二)统筹推进全区“一网通办”前提下“最多跑一次”改革工作。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(三)负责全区深化行政审批改革、审批服务便民化相关工作，负责全区政务服务事项目录清单、实施清单管理和标准化建设，推进落实“减环节、减材料、减时限、减费用、减中介、优流程”。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(四)统筹推进全区政务服务和大数据管理体系建设，构建全区实体服务大厅和网上办事大厅相结合的政务服务体制;负贵区级实体政务服务大厅建设管理工作。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(五)组织协调全区政务服务环境优化和评价工作，负贵区级政务服务质量的监督管理和效能监察。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(六)负责统筹推进全区“数字政府”建设，拟订建设规划和年度建设计划并组织实施。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(七)负责统筹全区电子政务、政府专网及区级政务信息系统及基础设置的规划建设、监督管理。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八)组织协调全区电子政务项目建设和“互联网+”应用工程;负责全区云平台中心、大数据中心建设，统筹管理全区政务云平台、政务服务平台、金融服务共享平台和电子政务网络等;负责搭建全区大数据平台，制定政务数据开放共享清单，推动政务数据开放共享与综合运用。统筹推进全区新型智慧城市建设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(九)负责全区信息化行业和大数据产业管理。协调推进信息化建设中的重大问题，负责推进网络经济及大数据、物联网、云计算等新兴业态发展。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十)承担信息安全管理责任;贯彻落实信息安全相关政策，负责协调维护全区网络安全和网络安全保障体系建设;承担全区信息安全等级保护、应急协调和数字认证等相关工作，负责“数宇政府”平台安全技术和运营体系建设，监督管理区级信息系统和数据库安全;统筹全区电子政务和重点行业信息基础设施、基础网络、信息系统、数据资源等安全保障工作;承担信息安全应急协调工作，协调处理重大事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(十一)统筹全区数据资源管理和建设工作。组织推动社会经济各领域大数据研究、开发、应用和对外合作交流;承担大数据人才队伍建设工作。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(十二)指导各乡(街道)政务服务和大数据管理工作。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42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(十三)完成区委、区政府交办的其他任务。</w:t>
      </w:r>
    </w:p>
    <w:p>
      <w:pPr>
        <w:ind w:left="64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第二部分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2021年度部门预算情况说明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一、收入支出预算总体情况说明</w:t>
      </w:r>
    </w:p>
    <w:p>
      <w:pPr>
        <w:widowControl w:val="0"/>
        <w:adjustRightInd/>
        <w:snapToGrid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政数局2021年收入总计81.56万元，支出总计81.56万元，与2020年相比，收、支总计各减少3.12万元，下降3.68%。主要原因：一是单位基本完成办公场所搬迁工作；二是压缩经费开支。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二、收入预算总体情况说明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政数局单位2021年收入合计81.56万元，全部为一般公共预算。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三、支出预算总体情况说明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政数局2021年支出合计81.56万元，其中：基本支出65.06万元，占79.77%；专项支出16.50</w:t>
      </w:r>
      <w:r>
        <w:rPr>
          <w:rFonts w:hint="eastAsia" w:ascii="仿宋" w:hAnsi="仿宋" w:eastAsia="仿宋" w:cs="仿宋"/>
          <w:sz w:val="32"/>
          <w:szCs w:val="32"/>
        </w:rPr>
        <w:t>万元，占20.23%。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四、财政拨款收入支出预算总体情况说明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政数局2021年一般公共预算收支预算81.56万元。与2020年相比，一般公共预算收支预算减少3.12万元，下降3.68%，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主要原因：</w:t>
      </w:r>
      <w:r>
        <w:rPr>
          <w:rFonts w:hint="eastAsia" w:ascii="仿宋" w:hAnsi="仿宋" w:eastAsia="仿宋" w:cs="仿宋"/>
          <w:sz w:val="32"/>
          <w:szCs w:val="32"/>
        </w:rPr>
        <w:t>一是单位基本完成办公场所搬迁工作；二是压缩经费开支。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五、一般公共预算支出预算情况说明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数局2021年一般公共预算支出年初预算为81.56万元。主要用于以下方面：一般公共服务支出61.84万元，占75.82%；社会保障和就业支出9.03万元，占11.07%；卫生健康支出5.34万元，占6.55%；住房保障支出5.34万元，占6.55%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六、支出预算经济分类情况说明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按照《财政部关于印发&lt;支出经济分类科目改革方案&gt;的通知》(财预〔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〕98号)要求，从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</w:t>
      </w:r>
      <w:r>
        <w:rPr>
          <w:rFonts w:hint="eastAsia" w:ascii="仿宋" w:hAnsi="仿宋" w:eastAsia="仿宋" w:cs="仿宋"/>
          <w:sz w:val="32"/>
          <w:szCs w:val="32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《支出经济分类汇总表》调整为按两套经济分类科目分别反映不同资金来源的全部预算支出。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七、政府性基金预算收支情况说明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我单位2021年政府性基金预算安排收入0万元，支出0万元。较上年无变化。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八、“三公”经费支出预算情况说明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我单位2021年“三公”经费预算为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0.3</w:t>
      </w:r>
      <w:r>
        <w:rPr>
          <w:rFonts w:hint="eastAsia" w:ascii="仿宋" w:hAnsi="仿宋" w:eastAsia="仿宋" w:cs="仿宋"/>
          <w:sz w:val="32"/>
          <w:szCs w:val="32"/>
        </w:rPr>
        <w:t>万元。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2021年“三公”经费支出预算数较2020年持平。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具体支出情况如下：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(一)因公出国(境)费0万元，主要用于单位工作人员公务出国(境)的住宿费、旅费、伙食补助费、杂费、培训费等支出。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预算数较2020年为同数。主要原因是：近年我单位无因公出国（境）业务。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(二)公务用车购置及运行费0万元，其中，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公务用车购置费0元；公务用车运行维护费0万元，</w:t>
      </w:r>
      <w:r>
        <w:rPr>
          <w:rFonts w:hint="eastAsia" w:ascii="仿宋" w:hAnsi="仿宋" w:eastAsia="仿宋" w:cs="仿宋"/>
          <w:sz w:val="32"/>
          <w:szCs w:val="32"/>
        </w:rPr>
        <w:t>主要用于开展工作所需公务用车的燃料费、维修费、过路过桥费、保险费、安全奖励费用等支出。公务用车购置费预算数和公务用车运行维护费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预算数较2020年0%。主要原因是：我单位未配置公务用车。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(三)公务接待费0.3万元，主要用于按规定开支的各类公务接待(含外宾接待)支出。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预算数较2020年持平。主要原因是：我单位2021年年公务接待同2020年度一样，无新增加招待业务。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九、其他重要事项的情况说明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(一)机关运行经费支出情况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政数局2021年机关运行经费支出预算19.71万元，主要保障机构正常运转及正常履职需要。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(二)政府采购支出情况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政数局政府采购预算安排1.3万元。其中：政府采购货物预算1.3万</w:t>
      </w:r>
      <w:r>
        <w:rPr>
          <w:rFonts w:ascii="仿宋" w:hAnsi="仿宋" w:eastAsia="仿宋" w:cs="仿宋"/>
          <w:sz w:val="32"/>
          <w:szCs w:val="32"/>
        </w:rPr>
        <w:t>元，政府采购工程预算</w:t>
      </w:r>
      <w:r>
        <w:rPr>
          <w:rFonts w:hint="eastAsia" w:ascii="仿宋" w:hAnsi="仿宋" w:eastAsia="仿宋" w:cs="仿宋"/>
          <w:sz w:val="32"/>
          <w:szCs w:val="32"/>
        </w:rPr>
        <w:t>0万</w:t>
      </w:r>
      <w:r>
        <w:rPr>
          <w:rFonts w:ascii="仿宋" w:hAnsi="仿宋" w:eastAsia="仿宋" w:cs="仿宋"/>
          <w:sz w:val="32"/>
          <w:szCs w:val="32"/>
        </w:rPr>
        <w:t>元，政府采购服务预算</w:t>
      </w:r>
      <w:r>
        <w:rPr>
          <w:rFonts w:hint="eastAsia" w:ascii="仿宋" w:hAnsi="仿宋" w:eastAsia="仿宋" w:cs="仿宋"/>
          <w:sz w:val="32"/>
          <w:szCs w:val="32"/>
        </w:rPr>
        <w:t>0万</w:t>
      </w:r>
      <w:r>
        <w:rPr>
          <w:rFonts w:ascii="仿宋" w:hAnsi="仿宋" w:eastAsia="仿宋" w:cs="仿宋"/>
          <w:sz w:val="32"/>
          <w:szCs w:val="32"/>
        </w:rPr>
        <w:t>元。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(三)关于预算绩效管理工作开展情况说明</w:t>
      </w:r>
    </w:p>
    <w:p>
      <w:pPr>
        <w:widowControl w:val="0"/>
        <w:adjustRightInd/>
        <w:snapToGrid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2021年预算项目均按要求编制了绩效目标，从项目产出、项目效益、满意度等方面设置了绩效指标，综合反映项目预期完成的数量、实效、质量，预期达到的社会经济效益、可持续影响以及服务对象满意度等情况。</w:t>
      </w:r>
    </w:p>
    <w:p>
      <w:pPr>
        <w:ind w:firstLine="6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(四)国有资产占用情况</w:t>
      </w:r>
    </w:p>
    <w:p>
      <w:pPr>
        <w:widowControl w:val="0"/>
        <w:adjustRightInd/>
        <w:snapToGrid/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2020年期末，我单位共有车辆0辆，全部为一般公务用车；单价50万元以上通用设备0台(套)，单位价值100万元以上专用设备0台(套)。</w:t>
      </w:r>
    </w:p>
    <w:p>
      <w:pPr>
        <w:ind w:firstLine="6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（五）专项转移支付项目情况</w:t>
      </w:r>
    </w:p>
    <w:p>
      <w:pPr>
        <w:widowControl w:val="0"/>
        <w:adjustRightInd/>
        <w:snapToGrid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2021年负责管理的专项转移支付项目共有0项，我单位将按照《预算法》等有关规定，积极做好项目分配前期准备工作，在规定的时间内向财政部门提出资金分配意见，根据有关要求做好项目申报公开等相关工作。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第三部分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名词解释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一、财政拨款收入：是指区级财政当年拨付的资金。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二、事业收入：是指事业单位开展专业活动及辅助活动所取得的收入。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三、其他收入：是指部门取得的除“财政拨款”、“事业收入”、“事业单位经营收入”等以外的收入。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用事业基金弥补收支差额：是指事业单位在当年的“财政拨款收入”、“事业收入”、“经营收入”和“其他收入”不足以安排当年支出的情况下，使用以前年度积累的事业基金(即事业单位以前各年度收支相抵后，按国家规定提取、用于弥补以后年度收支差额的基金)弥补当年收支缺口的资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五、基本支出：是指为保障机构正常运转、完成日常工作任务所必需的开支，其内容包括人员经费和日常公用经费两部分。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六、项目支出：是指在基本支出之外，为完成特定的行政工作任务或事业发展目标所发生的支出。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“三公”经费：是指纳入区级财政预算管理，部门使用财政拨款安排的因公出国(境)费、公务用车购置及运行费和公务接待费。其中，因公出国(境)费反映单位公务出国(境)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(含外宾接待)支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机关运行经费：是指为保障行政单位(含参照公务员法管理的事业单位)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220" w:lineRule="atLeast"/>
      </w:pPr>
    </w:p>
    <w:sectPr>
      <w:pgSz w:w="11906" w:h="16838"/>
      <w:pgMar w:top="1588" w:right="1361" w:bottom="1418" w:left="1361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D9E600"/>
    <w:multiLevelType w:val="singleLevel"/>
    <w:tmpl w:val="8AD9E60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4486FF4F"/>
    <w:multiLevelType w:val="singleLevel"/>
    <w:tmpl w:val="4486FF4F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B941C2"/>
    <w:rsid w:val="00BA223C"/>
    <w:rsid w:val="00D31D50"/>
    <w:rsid w:val="00E97301"/>
    <w:rsid w:val="3AA477A1"/>
    <w:rsid w:val="7093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Char"/>
    <w:basedOn w:val="5"/>
    <w:link w:val="3"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553</Words>
  <Characters>3155</Characters>
  <Lines>26</Lines>
  <Paragraphs>7</Paragraphs>
  <TotalTime>3</TotalTime>
  <ScaleCrop>false</ScaleCrop>
  <LinksUpToDate>false</LinksUpToDate>
  <CharactersWithSpaces>3701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我就想试试一个名字到底可以有多长</cp:lastModifiedBy>
  <dcterms:modified xsi:type="dcterms:W3CDTF">2021-03-30T07:38:41Z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94E7C0E5AAF24791A03A83AECB4F2A98</vt:lpwstr>
  </property>
</Properties>
</file>